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0E" w:rsidRPr="00BC6EE8" w:rsidRDefault="00BC6EE8" w:rsidP="00BC6E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EE8">
        <w:rPr>
          <w:rFonts w:ascii="Times New Roman" w:hAnsi="Times New Roman" w:cs="Times New Roman"/>
          <w:sz w:val="28"/>
          <w:szCs w:val="28"/>
        </w:rPr>
        <w:t>Организация специализированной, в том числе высокотехнологичной, медицинской помощи</w:t>
      </w:r>
    </w:p>
    <w:p w:rsidR="00BC6EE8" w:rsidRPr="00BC6EE8" w:rsidRDefault="00BC6EE8" w:rsidP="00BC6E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4EBD" w:rsidRDefault="00BC6EE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EE8">
        <w:rPr>
          <w:rFonts w:ascii="Times New Roman" w:hAnsi="Times New Roman" w:cs="Times New Roman"/>
          <w:sz w:val="28"/>
          <w:szCs w:val="28"/>
        </w:rPr>
        <w:tab/>
        <w:t>«Дорожной картой» предусмотрены, среди прочих, восемь целевых показателей коэффициентов смертности</w:t>
      </w:r>
      <w:r>
        <w:rPr>
          <w:rFonts w:ascii="Times New Roman" w:hAnsi="Times New Roman" w:cs="Times New Roman"/>
          <w:sz w:val="28"/>
          <w:szCs w:val="28"/>
        </w:rPr>
        <w:t xml:space="preserve">, по четырем из которых в 2014 году Ленинградская область не попадает в границы целевого уровня, и по четырём показателям имеется рост по сравнению с 2013 годом. </w:t>
      </w:r>
    </w:p>
    <w:p w:rsidR="00BC6EE8" w:rsidRDefault="00BC6EE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оценить данные целевые показатели с точки зрения абсолютного числа умерших, то отклонение от «целевого» уровня по всем причинам смерти составляет немногим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тысячи случаев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весь год по всей области.</w:t>
      </w:r>
    </w:p>
    <w:p w:rsidR="00BC6EE8" w:rsidRDefault="00BC6EE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Оптимальная организация специализированной, в том числе высокотехнологичной помощи позволяет значительно сократить этот разрыв, сохранив 400 – 450 жизней только за 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лечения острого коронарного синдрома, при котором в текущем году есть возможность рутинно использовать все существующие методы лечения, в том числе относящиеся к высокотехнологичной помощи.</w:t>
      </w:r>
    </w:p>
    <w:p w:rsidR="008B4EBD" w:rsidRDefault="008B4EBD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Снижение смертности от острого коронарного синдрома устойчиво связывается с использованием рентгенэндоваскулярных методов лечения, позволяющих в разы снизить госпитальную и общую летальность. </w:t>
      </w:r>
      <w:r w:rsidR="005C6330">
        <w:rPr>
          <w:rFonts w:ascii="Times New Roman" w:hAnsi="Times New Roman" w:cs="Times New Roman"/>
          <w:sz w:val="28"/>
          <w:szCs w:val="28"/>
        </w:rPr>
        <w:t xml:space="preserve">На сегодняшний день баллонная экстренная ангиопластика и стентирование – это лучший метод восстановления </w:t>
      </w:r>
      <w:proofErr w:type="spellStart"/>
      <w:r w:rsidR="005C6330">
        <w:rPr>
          <w:rFonts w:ascii="Times New Roman" w:hAnsi="Times New Roman" w:cs="Times New Roman"/>
          <w:sz w:val="28"/>
          <w:szCs w:val="28"/>
        </w:rPr>
        <w:t>антероградного</w:t>
      </w:r>
      <w:proofErr w:type="spellEnd"/>
      <w:r w:rsidR="005C6330">
        <w:rPr>
          <w:rFonts w:ascii="Times New Roman" w:hAnsi="Times New Roman" w:cs="Times New Roman"/>
          <w:sz w:val="28"/>
          <w:szCs w:val="28"/>
        </w:rPr>
        <w:t xml:space="preserve"> кровотока в коронарной </w:t>
      </w:r>
      <w:proofErr w:type="gramStart"/>
      <w:r w:rsidR="005C6330">
        <w:rPr>
          <w:rFonts w:ascii="Times New Roman" w:hAnsi="Times New Roman" w:cs="Times New Roman"/>
          <w:sz w:val="28"/>
          <w:szCs w:val="28"/>
        </w:rPr>
        <w:t>артерии</w:t>
      </w:r>
      <w:proofErr w:type="gramEnd"/>
      <w:r w:rsidR="005C6330">
        <w:rPr>
          <w:rFonts w:ascii="Times New Roman" w:hAnsi="Times New Roman" w:cs="Times New Roman"/>
          <w:sz w:val="28"/>
          <w:szCs w:val="28"/>
        </w:rPr>
        <w:t xml:space="preserve"> как по непосредственной эффективности, так и по отдаленным результатам. По данным различных эпидемиологических исследований минимальный объем медицинской помощи по данному методу должен составлять 600  - 1000 процедур на миллион населения в год, что соответствует двум центрам на миллион.</w:t>
      </w:r>
    </w:p>
    <w:p w:rsidR="002018EB" w:rsidRDefault="002018EB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Ленинградской области данный метод лечения, который относится в высокотехнологичной помощи и финансируется за счет средств ОМС, доступен в четырех организациях – ГБУЗ ЛОКБ, ГБУЗ «Всеволожская КМБ», ФГУ «ФМИЦ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В.А.Алмазова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ГБУЗ «Больница №40 Санкт-Петербурга». На 2014 год всем четырем центрам установлен объем 1070 госпитализаций по данному профилю. Это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домстаточно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приближено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рекомендованному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 лишь немного от него отстает.</w:t>
      </w:r>
    </w:p>
    <w:p w:rsidR="002018EB" w:rsidRDefault="002018EB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 не менее, далеко не все возможности названного вида помощи используются для снижения смертности. Соответственно, цель полностью не достигается.</w:t>
      </w:r>
    </w:p>
    <w:p w:rsidR="002018EB" w:rsidRDefault="002018EB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Проведенный расчет показывает, что только за счет специализированной медицинской помощи при остром инфаркте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миокарда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сохранить, по сравнению с текущим периодом, 400 – 450 жизней (табл.1)</w:t>
      </w:r>
    </w:p>
    <w:p w:rsidR="003810A8" w:rsidRDefault="003810A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0A8" w:rsidRDefault="003810A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10A8" w:rsidRDefault="003810A8" w:rsidP="00BC6E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06"/>
        <w:gridCol w:w="1900"/>
        <w:gridCol w:w="1516"/>
        <w:gridCol w:w="2220"/>
        <w:gridCol w:w="1516"/>
      </w:tblGrid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Всего пациентов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Умерли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Летальность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Резерв </w:t>
            </w:r>
          </w:p>
        </w:tc>
      </w:tr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РСЦ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5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,0%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других стационарах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2366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396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6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,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7</w:t>
            </w: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en-US" w:eastAsia="ru-RU"/>
              </w:rPr>
              <w:t>278</w:t>
            </w:r>
          </w:p>
        </w:tc>
      </w:tr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 дому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170</w:t>
            </w:r>
          </w:p>
        </w:tc>
      </w:tr>
      <w:tr w:rsidR="002018EB" w:rsidRPr="002018EB" w:rsidTr="003810A8">
        <w:trPr>
          <w:trHeight w:val="20"/>
        </w:trPr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8EB" w:rsidRPr="002018EB" w:rsidRDefault="002018EB" w:rsidP="0020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018EB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448</w:t>
            </w:r>
          </w:p>
        </w:tc>
      </w:tr>
    </w:tbl>
    <w:p w:rsidR="002018EB" w:rsidRDefault="002018EB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0A8" w:rsidRPr="00486ADF" w:rsidRDefault="003810A8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Для ма</w:t>
      </w:r>
      <w:r w:rsidR="003B5C20"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>симально эффективного использования рентгенэндоваскулярных технологий требуется своевременное выявление пациентов и их правильная маршрутизация.</w:t>
      </w:r>
    </w:p>
    <w:p w:rsidR="003810A8" w:rsidRPr="00486ADF" w:rsidRDefault="003810A8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2014 году интенсивность госпитализации при остром инфаркте миокарда существенно снизилась. Если в 2010 году было госпитализировано 4092 пациента с инфарктом, то в 2014 прогнозируемое число 3370, соответственно число госпитализаций на 1000 населения снизилось с 2,51 до 1,93. </w:t>
      </w:r>
    </w:p>
    <w:p w:rsidR="003810A8" w:rsidRPr="00486ADF" w:rsidRDefault="003810A8" w:rsidP="003B5C20">
      <w:pPr>
        <w:pStyle w:val="a3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Вновь выросло, почти вернувшись к уровню начала двухтысячных годов, число умерших вне стационара, в 2014 году доля таких случаев смерти по прогнозу составит 44,4%, что недопустимо много. В совокупности два названных показателя говорят о снижении доступности для жителей области специализированной медицинской помощи при остром инфаркте миокарда, при том, что именно сейчас технические возможности оказать </w:t>
      </w:r>
      <w:proofErr w:type="gramStart"/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>такую</w:t>
      </w:r>
      <w:proofErr w:type="gramEnd"/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помощи </w:t>
      </w:r>
      <w:r w:rsidR="003B5C20"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>велики</w:t>
      </w: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никогда раньше.</w:t>
      </w:r>
    </w:p>
    <w:p w:rsidR="003B5C20" w:rsidRPr="00486ADF" w:rsidRDefault="003B5C20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Больничная летальность при инфаркте миокарда в интервенционных отделениях существенно меньше, чем даже в первичных сосудистых отделениях, и несравнимо меньше обычных отделений, которые могут называться кардиологическими, но по своим возможностям мало отличаются </w:t>
      </w:r>
      <w:proofErr w:type="gramStart"/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терапевтических. (Табл.2)</w:t>
      </w:r>
    </w:p>
    <w:p w:rsidR="003B5C20" w:rsidRDefault="003B5C20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1701"/>
        <w:gridCol w:w="1559"/>
        <w:gridCol w:w="2552"/>
        <w:gridCol w:w="2693"/>
      </w:tblGrid>
      <w:tr w:rsidR="00BB1CDA" w:rsidRPr="00BB1CDA" w:rsidTr="00486ADF">
        <w:trPr>
          <w:trHeight w:val="39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Пролечены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Умерли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Летальность</w:t>
            </w:r>
          </w:p>
        </w:tc>
      </w:tr>
      <w:tr w:rsidR="00BB1CDA" w:rsidRPr="003B5C20" w:rsidTr="00486ADF">
        <w:trPr>
          <w:trHeight w:val="261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РСЦ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ЛОКБ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5,6</w:t>
            </w:r>
          </w:p>
        </w:tc>
      </w:tr>
      <w:tr w:rsidR="00BB1CDA" w:rsidRPr="003B5C20" w:rsidTr="00486ADF">
        <w:trPr>
          <w:trHeight w:val="268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Всеволожск (</w:t>
            </w: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VII-XI)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3,6</w:t>
            </w:r>
          </w:p>
        </w:tc>
      </w:tr>
      <w:tr w:rsidR="00BB1CDA" w:rsidRPr="003B5C20" w:rsidTr="00486ADF">
        <w:trPr>
          <w:trHeight w:val="547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ПСО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Всеволожск </w:t>
            </w:r>
          </w:p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(</w:t>
            </w: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ru-RU"/>
              </w:rPr>
              <w:t>I-VI)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5,7</w:t>
            </w:r>
          </w:p>
        </w:tc>
      </w:tr>
      <w:tr w:rsidR="00BB1CDA" w:rsidRPr="003B5C20" w:rsidTr="00486ADF">
        <w:trPr>
          <w:trHeight w:val="273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Гатчина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11,9</w:t>
            </w:r>
          </w:p>
        </w:tc>
      </w:tr>
      <w:tr w:rsidR="00BB1CDA" w:rsidRPr="003B5C20" w:rsidTr="00486ADF">
        <w:trPr>
          <w:trHeight w:val="26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C20" w:rsidRPr="003B5C20" w:rsidRDefault="003B5C20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Тихвин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3B5C20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10,0</w:t>
            </w:r>
          </w:p>
        </w:tc>
      </w:tr>
      <w:tr w:rsidR="00BB1CDA" w:rsidRPr="003B5C20" w:rsidTr="00486ADF">
        <w:trPr>
          <w:trHeight w:val="400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1CDA" w:rsidRPr="003B5C20" w:rsidRDefault="00BB1CDA" w:rsidP="003B5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Прочие стационары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BB1CDA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BB1CDA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C20" w:rsidRPr="003B5C20" w:rsidRDefault="00BB1CDA" w:rsidP="003B5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C20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20,0</w:t>
            </w:r>
          </w:p>
        </w:tc>
      </w:tr>
    </w:tbl>
    <w:p w:rsidR="003B5C20" w:rsidRDefault="003B5C20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CDA" w:rsidRPr="00486ADF" w:rsidRDefault="00BB1CDA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Таким образом, если бы все пациенты, пролеченные в районных стационарах, оказались в инвазивных отделениях, число умерших удалось бы значимо снизить.</w:t>
      </w:r>
    </w:p>
    <w:p w:rsidR="00BB1CDA" w:rsidRPr="00486ADF" w:rsidRDefault="00BB1CDA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первой половине 2014 года функционировал только региональный сосудистый центр в ГБУЗ ЛОКБ. Доля пациентов с острым инфарктом миокарда была относительно невелика (табл.3)</w:t>
      </w:r>
    </w:p>
    <w:p w:rsidR="00BB1CDA" w:rsidRDefault="00BB1CDA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1CDA" w:rsidRDefault="00BB1CDA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032"/>
        <w:gridCol w:w="1033"/>
        <w:gridCol w:w="1033"/>
        <w:gridCol w:w="1032"/>
        <w:gridCol w:w="1033"/>
        <w:gridCol w:w="1033"/>
        <w:gridCol w:w="1033"/>
      </w:tblGrid>
      <w:tr w:rsidR="00BB1CDA" w:rsidRPr="00486ADF" w:rsidTr="00BB1CDA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CDA" w:rsidRPr="00486ADF" w:rsidRDefault="00BB1CDA" w:rsidP="00BB1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месяцев</w:t>
            </w:r>
          </w:p>
        </w:tc>
      </w:tr>
      <w:tr w:rsidR="00BB1CDA" w:rsidRPr="00486ADF" w:rsidTr="00486AD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CDA" w:rsidRPr="00BB1CDA" w:rsidRDefault="00BB1CDA" w:rsidP="00BB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 ИМ в РСЦ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A" w:rsidRPr="00486ADF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</w:tr>
      <w:tr w:rsidR="00BB1CDA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CDA" w:rsidRPr="00BB1CDA" w:rsidRDefault="00BB1CDA" w:rsidP="00BB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 ИМ в районах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A" w:rsidRPr="00486ADF" w:rsidRDefault="00486ADF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1429</w:t>
            </w:r>
          </w:p>
        </w:tc>
      </w:tr>
      <w:tr w:rsidR="00BB1CDA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CDA" w:rsidRPr="00BB1CDA" w:rsidRDefault="00BB1CDA" w:rsidP="00BB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число пациентов с </w:t>
            </w:r>
            <w:proofErr w:type="gramStart"/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A" w:rsidRPr="00486ADF" w:rsidRDefault="00486ADF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1747</w:t>
            </w:r>
          </w:p>
        </w:tc>
      </w:tr>
      <w:tr w:rsidR="00BB1CDA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1CDA" w:rsidRPr="00BB1CDA" w:rsidRDefault="00BB1CDA" w:rsidP="00BB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РСЦ</w:t>
            </w:r>
            <w:proofErr w:type="gramStart"/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CDA" w:rsidRPr="00BB1CDA" w:rsidRDefault="00BB1CDA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CDA" w:rsidRPr="00486ADF" w:rsidRDefault="00486ADF" w:rsidP="0048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</w:t>
            </w:r>
          </w:p>
        </w:tc>
      </w:tr>
    </w:tbl>
    <w:p w:rsidR="00BB1CDA" w:rsidRDefault="00BB1CDA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6ADF" w:rsidRPr="00486ADF" w:rsidRDefault="00486ADF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D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 вводом в строй отделения рентгенэндоваскулярных методов лечения в ГБУЗ ЛО «Всеволожская КМБ» доля госпитализированных в РСЦ увеличилась и в октябре достигла 36,8%, что также недостаточно (табл.4)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204"/>
        <w:gridCol w:w="1205"/>
        <w:gridCol w:w="1205"/>
        <w:gridCol w:w="1205"/>
        <w:gridCol w:w="1205"/>
        <w:gridCol w:w="1205"/>
      </w:tblGrid>
      <w:tr w:rsidR="00486ADF" w:rsidRPr="00486ADF" w:rsidTr="00486AD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ADF" w:rsidRPr="00486ADF" w:rsidRDefault="00486ADF" w:rsidP="00605C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месяцев</w:t>
            </w:r>
          </w:p>
        </w:tc>
      </w:tr>
      <w:tr w:rsidR="00486ADF" w:rsidRPr="00486ADF" w:rsidTr="00486ADF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ADF" w:rsidRPr="00BB1CDA" w:rsidRDefault="00486ADF" w:rsidP="006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 ИМ в РСЦ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744</w:t>
            </w:r>
          </w:p>
        </w:tc>
      </w:tr>
      <w:tr w:rsidR="00486ADF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ADF" w:rsidRPr="00BB1CDA" w:rsidRDefault="00486ADF" w:rsidP="006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пациентов ИМ в районах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247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159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183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187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161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2366</w:t>
            </w:r>
          </w:p>
        </w:tc>
      </w:tr>
      <w:tr w:rsidR="00486ADF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ADF" w:rsidRPr="00BB1CDA" w:rsidRDefault="00486ADF" w:rsidP="006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число пациентов с </w:t>
            </w:r>
            <w:proofErr w:type="gramStart"/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239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264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296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86ADF">
              <w:rPr>
                <w:rFonts w:ascii="Times New Roman" w:hAnsi="Times New Roman" w:cs="Times New Roman"/>
                <w:bCs/>
                <w:color w:val="000000"/>
              </w:rPr>
              <w:t>3110</w:t>
            </w:r>
          </w:p>
        </w:tc>
      </w:tr>
      <w:tr w:rsidR="00486ADF" w:rsidRPr="00486ADF" w:rsidTr="00486ADF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ADF" w:rsidRPr="00BB1CDA" w:rsidRDefault="00486ADF" w:rsidP="0060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C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 РСЦ</w:t>
            </w:r>
            <w:proofErr w:type="gramStart"/>
            <w:r w:rsidRPr="0048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36,8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34,0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ADF" w:rsidRPr="00486ADF" w:rsidRDefault="00486AD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86ADF">
              <w:rPr>
                <w:rFonts w:ascii="Times New Roman" w:hAnsi="Times New Roman" w:cs="Times New Roman"/>
                <w:color w:val="000000"/>
              </w:rPr>
              <w:t>23,9</w:t>
            </w:r>
          </w:p>
        </w:tc>
      </w:tr>
    </w:tbl>
    <w:p w:rsidR="00486ADF" w:rsidRDefault="00486ADF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A12" w:rsidRDefault="00486ADF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настоящее время следует </w:t>
      </w:r>
      <w:r w:rsidR="00EC4EB1"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>считать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все пациенты с инфарктом миокарда с элевацией сегмента 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ЭКГ требуют проведения стентирования. </w:t>
      </w:r>
      <w:r w:rsidR="0030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должны госпитализироваться в региональные сосудистые центры с минимумом промежуточных этапов, желательно прямо из дома. </w:t>
      </w:r>
      <w:proofErr w:type="spellStart"/>
      <w:r w:rsidR="00304A12">
        <w:rPr>
          <w:rFonts w:ascii="Times New Roman" w:hAnsi="Times New Roman" w:cs="Times New Roman"/>
          <w:color w:val="000000" w:themeColor="text1"/>
          <w:sz w:val="28"/>
          <w:szCs w:val="28"/>
        </w:rPr>
        <w:t>Тромболитическая</w:t>
      </w:r>
      <w:proofErr w:type="spellEnd"/>
      <w:r w:rsidR="00304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терапия, как метод временного частичного восстановления коронарного кровотока, должен быть использован на догоспитальном этапе в большинстве случаев. </w:t>
      </w:r>
    </w:p>
    <w:p w:rsidR="00486ADF" w:rsidRDefault="00EC4EB1" w:rsidP="00304A12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Пациенты с острым коронарным синдромом без элевации сегмента 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ЭКГ должны быть оценены по </w:t>
      </w:r>
      <w:r w:rsidR="0030543C"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стандартным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методикам с определением степени риска и нуждаемости в </w:t>
      </w:r>
      <w:r w:rsidR="0030543C"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>инвазивном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вмешательстве,  также времени его проведения (2 часа, 24 часа, 72 часа от момента заболевания). Методики эти хорошо известны, однако такая оценка требует исследования тропонина количественным методом, иногда </w:t>
      </w:r>
      <w:proofErr w:type="spellStart"/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>двухкратно</w:t>
      </w:r>
      <w:proofErr w:type="spellEnd"/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исследования биохимических параметров, ультразвукового исследования, а также участия специалиста по экстренной кардиологии, имеющего соответствующие навыки. </w:t>
      </w:r>
    </w:p>
    <w:p w:rsidR="00224746" w:rsidRDefault="00224746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Таким образом, пациенты 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элевации сегмента 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305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ЭКГ должны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госпитализированы в отделение не ниже уровнем, чем первичное сосудистое, где есть все условия. В то же время госпитализация их </w:t>
      </w:r>
      <w:r w:rsidR="00361F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региональный центр, минуя первичное сосудистое отделение, существенно расширяет круг лиц, которым проводится стентирование, и сокращает время между появлением симптомов заболевания и восстановлением коронарного кровотока.</w:t>
      </w:r>
    </w:p>
    <w:p w:rsidR="00361F99" w:rsidRDefault="00361F99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Действующий в настоящее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 приказ Комитета по здравоохранению от 27 июня 2014 года №13 предусматривает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прикрепление районов к региональным центрам. В то же время в названном нормативном правовом акте установлено разделение на два потока – с элевацией и без элевации сегмента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причем на догоспитальном этапе. Очевидно, возникла необходимость внесения изменений с тем, чтобы все пациенты, которые технически могут быть транспортированы до регионального центра, были госпитализированы именно туда.</w:t>
      </w:r>
    </w:p>
    <w:p w:rsidR="00361F99" w:rsidRDefault="00361F99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Кроме того, необходимо пересмотреть действующие тарифы в системе ОМС с тем, чтобы у руководителей медицинских организаций, которые не располагают соответствующими возможностями, не было экономического стимула принимать на лечение пациентов с острым коронарным синдромом.</w:t>
      </w:r>
    </w:p>
    <w:p w:rsidR="00361F99" w:rsidRDefault="00361F99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примере одного регионального центра </w:t>
      </w:r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(Табл.5) можно видеть, насколько госпитализация в такой центр способна </w:t>
      </w:r>
      <w:proofErr w:type="gramStart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>снизить число</w:t>
      </w:r>
      <w:proofErr w:type="gramEnd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летальных исходов</w:t>
      </w:r>
    </w:p>
    <w:tbl>
      <w:tblPr>
        <w:tblW w:w="923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9"/>
        <w:gridCol w:w="1530"/>
        <w:gridCol w:w="1531"/>
        <w:gridCol w:w="1531"/>
        <w:gridCol w:w="1531"/>
        <w:gridCol w:w="1531"/>
      </w:tblGrid>
      <w:tr w:rsidR="0014535E" w:rsidRPr="0014535E" w:rsidTr="0014535E">
        <w:trPr>
          <w:trHeight w:val="1109"/>
        </w:trPr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Пролечено ИМ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Умерли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Летальность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умерших</w:t>
            </w:r>
            <w:proofErr w:type="gramEnd"/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при летальности 3,6% 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Резерв снижения </w:t>
            </w:r>
            <w:proofErr w:type="gramStart"/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смертно-</w:t>
            </w:r>
            <w:proofErr w:type="spellStart"/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</w:p>
        </w:tc>
      </w:tr>
      <w:tr w:rsidR="0014535E" w:rsidRPr="0014535E" w:rsidTr="0014535E">
        <w:trPr>
          <w:trHeight w:val="384"/>
        </w:trPr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22</w:t>
            </w:r>
          </w:p>
        </w:tc>
      </w:tr>
      <w:tr w:rsidR="0014535E" w:rsidRPr="0014535E" w:rsidTr="0014535E">
        <w:trPr>
          <w:trHeight w:val="249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29</w:t>
            </w:r>
          </w:p>
        </w:tc>
      </w:tr>
      <w:tr w:rsidR="0014535E" w:rsidRPr="0014535E" w:rsidTr="0014535E">
        <w:trPr>
          <w:trHeight w:val="268"/>
        </w:trPr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 21,2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23</w:t>
            </w:r>
          </w:p>
        </w:tc>
      </w:tr>
      <w:tr w:rsidR="0014535E" w:rsidRPr="0014535E" w:rsidTr="0014535E">
        <w:trPr>
          <w:trHeight w:val="215"/>
        </w:trPr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21,3 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</w:tr>
      <w:tr w:rsidR="0014535E" w:rsidRPr="0014535E" w:rsidTr="0014535E">
        <w:trPr>
          <w:trHeight w:val="332"/>
        </w:trPr>
        <w:tc>
          <w:tcPr>
            <w:tcW w:w="15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14535E" w:rsidRPr="0014535E" w:rsidRDefault="0014535E" w:rsidP="0014535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5E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85</w:t>
            </w:r>
          </w:p>
        </w:tc>
      </w:tr>
    </w:tbl>
    <w:p w:rsidR="0014535E" w:rsidRPr="00361F99" w:rsidRDefault="0014535E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746" w:rsidRPr="0030543C" w:rsidRDefault="00224746" w:rsidP="00BC6EE8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расчете мощности региональных сосудистых центров с учетом числа пациентов с острым коронарным синдромом по форме 14 за 2013 </w:t>
      </w:r>
      <w:proofErr w:type="gramStart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proofErr w:type="gramEnd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очевидно, что число районов, «прикрепленных» к ГБУЗ ЛОКБ, избыточно. Организация таких центров на базе существующих первичных сосудистых отделений  в Тихвине и в Гатчине позволит увеличить долю пациентов, получивших </w:t>
      </w:r>
      <w:proofErr w:type="gramStart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>коронарное</w:t>
      </w:r>
      <w:proofErr w:type="gramEnd"/>
      <w:r w:rsidR="00145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стентирование, уменьшить расстояния транспортировки.</w:t>
      </w:r>
    </w:p>
    <w:sectPr w:rsidR="00224746" w:rsidRPr="00305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F7" w:rsidRDefault="004E29F7" w:rsidP="004573AC">
      <w:pPr>
        <w:spacing w:after="0" w:line="240" w:lineRule="auto"/>
      </w:pPr>
      <w:r>
        <w:separator/>
      </w:r>
    </w:p>
  </w:endnote>
  <w:endnote w:type="continuationSeparator" w:id="0">
    <w:p w:rsidR="004E29F7" w:rsidRDefault="004E29F7" w:rsidP="0045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C" w:rsidRDefault="004573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C" w:rsidRDefault="004573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C" w:rsidRDefault="004573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F7" w:rsidRDefault="004E29F7" w:rsidP="004573AC">
      <w:pPr>
        <w:spacing w:after="0" w:line="240" w:lineRule="auto"/>
      </w:pPr>
      <w:r>
        <w:separator/>
      </w:r>
    </w:p>
  </w:footnote>
  <w:footnote w:type="continuationSeparator" w:id="0">
    <w:p w:rsidR="004E29F7" w:rsidRDefault="004E29F7" w:rsidP="0045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C" w:rsidRDefault="004573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762443"/>
      <w:docPartObj>
        <w:docPartGallery w:val="Page Numbers (Top of Page)"/>
        <w:docPartUnique/>
      </w:docPartObj>
    </w:sdtPr>
    <w:sdtEndPr/>
    <w:sdtContent>
      <w:p w:rsidR="004573AC" w:rsidRDefault="004573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C31">
          <w:rPr>
            <w:noProof/>
          </w:rPr>
          <w:t>1</w:t>
        </w:r>
        <w:r>
          <w:fldChar w:fldCharType="end"/>
        </w:r>
      </w:p>
    </w:sdtContent>
  </w:sdt>
  <w:p w:rsidR="004573AC" w:rsidRDefault="004573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3AC" w:rsidRDefault="004573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EE8"/>
    <w:rsid w:val="000E4890"/>
    <w:rsid w:val="0014535E"/>
    <w:rsid w:val="002018EB"/>
    <w:rsid w:val="00224746"/>
    <w:rsid w:val="00304A12"/>
    <w:rsid w:val="0030543C"/>
    <w:rsid w:val="00361F99"/>
    <w:rsid w:val="003810A8"/>
    <w:rsid w:val="003B5C20"/>
    <w:rsid w:val="00440038"/>
    <w:rsid w:val="004573AC"/>
    <w:rsid w:val="00486ADF"/>
    <w:rsid w:val="004B4C31"/>
    <w:rsid w:val="004E29F7"/>
    <w:rsid w:val="005C6330"/>
    <w:rsid w:val="00706F82"/>
    <w:rsid w:val="008B4EBD"/>
    <w:rsid w:val="008E13B9"/>
    <w:rsid w:val="00971F0E"/>
    <w:rsid w:val="00BB1CDA"/>
    <w:rsid w:val="00BC6EE8"/>
    <w:rsid w:val="00CB1C99"/>
    <w:rsid w:val="00EC4EB1"/>
    <w:rsid w:val="00F70318"/>
    <w:rsid w:val="00FD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3AC"/>
  </w:style>
  <w:style w:type="paragraph" w:styleId="a7">
    <w:name w:val="footer"/>
    <w:basedOn w:val="a"/>
    <w:link w:val="a8"/>
    <w:uiPriority w:val="99"/>
    <w:unhideWhenUsed/>
    <w:rsid w:val="0045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E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5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73AC"/>
  </w:style>
  <w:style w:type="paragraph" w:styleId="a7">
    <w:name w:val="footer"/>
    <w:basedOn w:val="a"/>
    <w:link w:val="a8"/>
    <w:uiPriority w:val="99"/>
    <w:unhideWhenUsed/>
    <w:rsid w:val="0045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Нина Олеговна Верединская</cp:lastModifiedBy>
  <cp:revision>2</cp:revision>
  <dcterms:created xsi:type="dcterms:W3CDTF">2018-07-02T12:51:00Z</dcterms:created>
  <dcterms:modified xsi:type="dcterms:W3CDTF">2018-07-02T12:51:00Z</dcterms:modified>
</cp:coreProperties>
</file>