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7A" w:rsidRPr="00624D7A" w:rsidRDefault="00624D7A" w:rsidP="00624D7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4D7A" w:rsidRPr="00624D7A" w:rsidRDefault="00624D7A" w:rsidP="00624D7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4D7A" w:rsidRPr="00624D7A" w:rsidRDefault="00624D7A" w:rsidP="00624D7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4D7A" w:rsidRPr="00624D7A" w:rsidRDefault="00624D7A" w:rsidP="00624D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24D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624D7A" w:rsidRPr="00624D7A" w:rsidRDefault="00624D7A" w:rsidP="00624D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Toc363111822"/>
      <w:r w:rsidRPr="00624D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  <w:bookmarkEnd w:id="0"/>
    </w:p>
    <w:p w:rsidR="00624D7A" w:rsidRPr="00624D7A" w:rsidRDefault="00624D7A" w:rsidP="00624D7A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>от__________________2021 года №____</w:t>
      </w:r>
    </w:p>
    <w:p w:rsidR="00624D7A" w:rsidRPr="00624D7A" w:rsidRDefault="00624D7A" w:rsidP="00624D7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06" w:type="dxa"/>
        <w:tblLook w:val="0000" w:firstRow="0" w:lastRow="0" w:firstColumn="0" w:lastColumn="0" w:noHBand="0" w:noVBand="0"/>
      </w:tblPr>
      <w:tblGrid>
        <w:gridCol w:w="8696"/>
      </w:tblGrid>
      <w:tr w:rsidR="00624D7A" w:rsidRPr="00624D7A" w:rsidTr="00F42F2A">
        <w:trPr>
          <w:jc w:val="center"/>
        </w:trPr>
        <w:tc>
          <w:tcPr>
            <w:tcW w:w="8696" w:type="dxa"/>
          </w:tcPr>
          <w:p w:rsidR="00624D7A" w:rsidRPr="00624D7A" w:rsidRDefault="00624D7A" w:rsidP="00624D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«О внесении изменений в постановление Правительства Ленинградской области от 14 ноября 2013 года № 405 «Об утверждении государственной программы Ленинградской области «Развитие здравоохранения в Ленинградской области»</w:t>
            </w:r>
          </w:p>
        </w:tc>
      </w:tr>
    </w:tbl>
    <w:p w:rsidR="00624D7A" w:rsidRPr="00624D7A" w:rsidRDefault="00624D7A" w:rsidP="00624D7A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Правительство Ленинградской области </w:t>
      </w:r>
      <w:r w:rsidRPr="00624D7A"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  <w:t>постановляет</w:t>
      </w: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24D7A" w:rsidRPr="00624D7A" w:rsidRDefault="00624D7A" w:rsidP="00624D7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государственную программу Ленинградской области </w:t>
      </w:r>
      <w:r w:rsidRPr="00624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«Развитие здравоохранения в Ленинградской области», утвержденную </w:t>
      </w: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Ленинградской области от 14 ноября 2013 года № 405,</w:t>
      </w:r>
      <w:r w:rsidRPr="00624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изменения согласно приложению к настоящему постановлению.</w:t>
      </w:r>
    </w:p>
    <w:p w:rsidR="00624D7A" w:rsidRPr="00624D7A" w:rsidRDefault="00624D7A" w:rsidP="00624D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624D7A" w:rsidRPr="00624D7A" w:rsidRDefault="00624D7A" w:rsidP="0062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Настоящее постановление вступает в силу со дня подписания.</w:t>
      </w:r>
    </w:p>
    <w:p w:rsidR="00624D7A" w:rsidRPr="00624D7A" w:rsidRDefault="00624D7A" w:rsidP="00624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Губернатор </w:t>
      </w:r>
    </w:p>
    <w:p w:rsidR="00624D7A" w:rsidRPr="00624D7A" w:rsidRDefault="00624D7A" w:rsidP="00624D7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24D7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А.Ю. Дрозденко</w:t>
      </w:r>
    </w:p>
    <w:p w:rsidR="00624D7A" w:rsidRPr="00624D7A" w:rsidRDefault="00624D7A" w:rsidP="00624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D7A" w:rsidRDefault="00624D7A">
      <w:pPr>
        <w:sectPr w:rsidR="00624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</w:t>
      </w:r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постановлению Правительства</w:t>
      </w:r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Ленинградской области</w:t>
      </w:r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от _________2021 года № ____                         </w:t>
      </w:r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624D7A" w:rsidRPr="00624D7A" w:rsidRDefault="00624D7A" w:rsidP="00624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государственную программу Ленинградской области </w:t>
      </w:r>
      <w:proofErr w:type="gramEnd"/>
    </w:p>
    <w:p w:rsidR="00624D7A" w:rsidRPr="00624D7A" w:rsidRDefault="00624D7A" w:rsidP="00624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"Развитие здравоохранения в Ленинградской области", </w:t>
      </w:r>
      <w:proofErr w:type="gramStart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624D7A" w:rsidRPr="00624D7A" w:rsidRDefault="00624D7A" w:rsidP="00624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Ленинградской области от 14 ноября 2013 года № 405 </w:t>
      </w:r>
    </w:p>
    <w:p w:rsidR="00624D7A" w:rsidRPr="00624D7A" w:rsidRDefault="00624D7A" w:rsidP="00624D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паспорте государственной программы Ленинградской области "Развитие здравоохранения в Ленинградской области": </w:t>
      </w:r>
    </w:p>
    <w:p w:rsidR="00624D7A" w:rsidRPr="00624D7A" w:rsidRDefault="00624D7A" w:rsidP="0062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позицию «</w:t>
      </w: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» изложить в следующей редакции:</w:t>
      </w:r>
    </w:p>
    <w:tbl>
      <w:tblPr>
        <w:tblpPr w:leftFromText="180" w:rightFromText="180" w:vertAnchor="text" w:tblpX="629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119"/>
      </w:tblGrid>
      <w:tr w:rsidR="00624D7A" w:rsidRPr="00624D7A" w:rsidTr="00F42F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Достижение к 2024 году следующих показателей:</w:t>
            </w:r>
          </w:p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1.Снижение общей смертности населения на 1000 населения - 13,8;</w:t>
            </w:r>
          </w:p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продолжительности жизни при рождении – 73,8.</w:t>
            </w:r>
          </w:p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proofErr w:type="gramStart"/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Снижение смертности от болезней системы кровообращения на 100 тыс. населения - 459,8;</w:t>
            </w:r>
            <w:proofErr w:type="gramEnd"/>
          </w:p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снижение смертности от новообразований (в том числе от злокачественных) на 100 тыс. населения – 223,0;</w:t>
            </w:r>
            <w:proofErr w:type="gramEnd"/>
          </w:p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снижение смертности от туберкулеза на 100 тыс. населения – 4,5;</w:t>
            </w:r>
          </w:p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снижение младенческой смертности (на 1000 </w:t>
            </w:r>
            <w:proofErr w:type="gramStart"/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родившихся</w:t>
            </w:r>
            <w:proofErr w:type="gramEnd"/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живыми) - до 3,6 случая.</w:t>
            </w:r>
          </w:p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Обеспеченность населения врачами (на 10 тыс. человек населения) - 31,7;</w:t>
            </w:r>
          </w:p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обеспеченность населения средними медицинскими работниками (на 10 тыс. человек населения) – 69,5.</w:t>
            </w:r>
          </w:p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Доля населенных пунктов, обеспеченных первичной медико-санитарной помощью по участковому принципу, - 99,5 проц.;</w:t>
            </w:r>
          </w:p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доля медицинских организаций, реализовавших проекты по предоставлению качественной медицинской помощи, - 50 проц.;</w:t>
            </w:r>
          </w:p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 Удовлетворенность населения медицинской помощью - 75 проц.</w:t>
            </w:r>
          </w:p>
        </w:tc>
      </w:tr>
    </w:tbl>
    <w:p w:rsidR="00624D7A" w:rsidRPr="00624D7A" w:rsidRDefault="00624D7A" w:rsidP="0062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624D7A" w:rsidRPr="00624D7A" w:rsidRDefault="00624D7A" w:rsidP="006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«Цели, задача и ожидаемые результаты Программы»:</w:t>
      </w:r>
    </w:p>
    <w:p w:rsidR="00624D7A" w:rsidRPr="00624D7A" w:rsidRDefault="00624D7A" w:rsidP="00624D7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девятом цифры «13,6» заменить цифрами «13,8»</w:t>
      </w:r>
    </w:p>
    <w:p w:rsidR="00624D7A" w:rsidRPr="00624D7A" w:rsidRDefault="00624D7A" w:rsidP="00624D7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тринадцатом цифры «3,5» заменить цифрами «3,6»;</w:t>
      </w:r>
    </w:p>
    <w:p w:rsidR="00624D7A" w:rsidRPr="00624D7A" w:rsidRDefault="00624D7A" w:rsidP="00624D7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четырнадцатом цифры «31,8» заменить цифрами «31,7»;</w:t>
      </w:r>
    </w:p>
    <w:p w:rsidR="00624D7A" w:rsidRPr="00624D7A" w:rsidRDefault="00624D7A" w:rsidP="00624D7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 подпрограмме </w:t>
      </w: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«Первичная медико-санитарная помощь. Профилактика заболеваний и формирование здорового образа жизни»:</w:t>
      </w:r>
    </w:p>
    <w:p w:rsidR="00624D7A" w:rsidRPr="00624D7A" w:rsidRDefault="00624D7A" w:rsidP="0062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в таблице 2 «Перечень медицинских изделий для приобретения до 31 декабря 2020 года в рамках реализации федерального проекта «Развитие детского здравоохранения, включая создание современной инфраструктуры оказания медицинской помощи детям»: </w:t>
      </w:r>
    </w:p>
    <w:p w:rsidR="00624D7A" w:rsidRPr="00624D7A" w:rsidRDefault="00624D7A" w:rsidP="0062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строки 2-3 изложить в следующей редакции: </w:t>
      </w:r>
    </w:p>
    <w:p w:rsidR="00624D7A" w:rsidRPr="00624D7A" w:rsidRDefault="00624D7A" w:rsidP="0062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2890"/>
        <w:gridCol w:w="1468"/>
        <w:gridCol w:w="3331"/>
        <w:gridCol w:w="3615"/>
      </w:tblGrid>
      <w:tr w:rsidR="00624D7A" w:rsidRPr="00624D7A" w:rsidTr="00F42F2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Электрокардиограф </w:t>
            </w:r>
            <w:proofErr w:type="spellStart"/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двенадцатиканальный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269170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Электрокардиограф многоканальный интерпретирующий профессиональный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</w:p>
        </w:tc>
      </w:tr>
      <w:tr w:rsidR="00624D7A" w:rsidRPr="00624D7A" w:rsidTr="00F42F2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Дефибриллятор внешний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126500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</w:tr>
    </w:tbl>
    <w:p w:rsidR="00624D7A" w:rsidRPr="00624D7A" w:rsidRDefault="00624D7A" w:rsidP="0062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";</w:t>
      </w:r>
    </w:p>
    <w:p w:rsidR="00624D7A" w:rsidRPr="00624D7A" w:rsidRDefault="00624D7A" w:rsidP="006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добавить строку 24 следующего содержания:</w:t>
      </w:r>
    </w:p>
    <w:p w:rsidR="00624D7A" w:rsidRPr="00624D7A" w:rsidRDefault="00624D7A" w:rsidP="0062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65"/>
        <w:gridCol w:w="1928"/>
        <w:gridCol w:w="2948"/>
        <w:gridCol w:w="3966"/>
      </w:tblGrid>
      <w:tr w:rsidR="00624D7A" w:rsidRPr="00624D7A" w:rsidTr="00F42F2A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Офтальмоскоп непрямой бинокулярный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262490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Офтальмоскоп непрямой бинокулярный с питанием от сети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24D7A" w:rsidRPr="00624D7A" w:rsidRDefault="00624D7A" w:rsidP="00624D7A">
      <w:pPr>
        <w:tabs>
          <w:tab w:val="left" w:pos="13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24D7A" w:rsidRPr="00624D7A" w:rsidRDefault="00624D7A" w:rsidP="00624D7A">
      <w:pPr>
        <w:tabs>
          <w:tab w:val="right" w:pos="145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4D7A" w:rsidRPr="00624D7A" w:rsidRDefault="00624D7A" w:rsidP="00624D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В подпрограмме </w:t>
      </w: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территориальной модели здравоохранения Ленинградской области"</w:t>
      </w: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24D7A" w:rsidRPr="00624D7A" w:rsidRDefault="00624D7A" w:rsidP="0062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624D7A" w:rsidRPr="00624D7A" w:rsidRDefault="00624D7A" w:rsidP="006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разделе «Характеристика основных мероприятий и проектов Подпрограммы»:</w:t>
      </w:r>
    </w:p>
    <w:p w:rsidR="00624D7A" w:rsidRPr="00624D7A" w:rsidRDefault="00624D7A" w:rsidP="0062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4D7A" w:rsidRPr="00624D7A" w:rsidRDefault="00624D7A" w:rsidP="006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подраздел "Основное мероприятие "Строительство (реконструкция) объектов здравоохранения и приобретение объектов недвижимого имущества для ну</w:t>
      </w:r>
      <w:proofErr w:type="gramStart"/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жд здр</w:t>
      </w:r>
      <w:proofErr w:type="gramEnd"/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авоохранения" добавить абзацы в следующей редакции:</w:t>
      </w:r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"В целях </w:t>
      </w: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доступности и качества медицинской помощи для жителей Ленинградской области </w:t>
      </w: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осуществляется </w:t>
      </w: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объектов здравоохранения (реконструкция существующих) и приобретение объектов недвижимого имущества для ну</w:t>
      </w:r>
      <w:proofErr w:type="gramStart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здр</w:t>
      </w:r>
      <w:proofErr w:type="gramEnd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авоохранения, что также позволит оказывать амбулаторную и стационарную помощь на новом современном уровне. </w:t>
      </w:r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Ленинградской области от 14.12.2020 г. № 819 «Об утверждении региональной программы модернизации первичного звена здравоохранения» в период на 2021-2025 гг. запланировано строительство трех новых поликлиник в Кировском, Ломоносовском и Всеволожском районах, с целью повышения доступности первичной медико-санитарной помощи в связи с ростом населения в соответствующих населенных пунктах и недостаточной мощностью имеющихся учреждений.</w:t>
      </w: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";</w:t>
      </w:r>
      <w:proofErr w:type="gramEnd"/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подраздел "Основное мероприятие "Мероприятия, направленные на укрепление материально-технической базы учреждений здравоохранения" изложить в следующей редакции:</w:t>
      </w:r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" 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помощи, проведение капитального ремонта в целях приведения зданий учреждений здравоохранения в соответствие с санитарными правилами и нормами.</w:t>
      </w:r>
    </w:p>
    <w:p w:rsidR="00624D7A" w:rsidRPr="00624D7A" w:rsidRDefault="00624D7A" w:rsidP="006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Ленинградской области от 14.12.2020 г. № 819 «Об утверждении региональной программы модернизации первичного звена здравоохранения» планируется приобретение современного медицинского оборудования и автомобильного транспорта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районов.</w:t>
      </w:r>
      <w:proofErr w:type="gramEnd"/>
    </w:p>
    <w:p w:rsidR="00624D7A" w:rsidRPr="00624D7A" w:rsidRDefault="00624D7A" w:rsidP="006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приложении 1 к Программе в таблице </w:t>
      </w: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 Перечень основных мероприятий </w:t>
      </w:r>
      <w:proofErr w:type="gramStart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624D7A" w:rsidRPr="00624D7A" w:rsidRDefault="00624D7A" w:rsidP="006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Ленинградской области "Развитие здравоохранения в Ленинградской области"</w:t>
      </w:r>
    </w:p>
    <w:p w:rsidR="00624D7A" w:rsidRPr="00624D7A" w:rsidRDefault="00624D7A" w:rsidP="006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строку 5.3 в следующей редакции:</w:t>
      </w:r>
    </w:p>
    <w:p w:rsidR="00624D7A" w:rsidRPr="00624D7A" w:rsidRDefault="00624D7A" w:rsidP="006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86"/>
        <w:gridCol w:w="3969"/>
        <w:gridCol w:w="3543"/>
        <w:gridCol w:w="2622"/>
      </w:tblGrid>
      <w:tr w:rsidR="00624D7A" w:rsidRPr="00624D7A" w:rsidTr="00F42F2A">
        <w:trPr>
          <w:trHeight w:val="3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</w:p>
          <w:p w:rsidR="00624D7A" w:rsidRPr="00624D7A" w:rsidRDefault="00624D7A" w:rsidP="006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Перечисление межбюджетных трансфертов,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Предоставление межбюджетных трансфертов,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 медицинской помощи</w:t>
            </w:r>
          </w:p>
        </w:tc>
      </w:tr>
    </w:tbl>
    <w:p w:rsidR="00624D7A" w:rsidRPr="00624D7A" w:rsidRDefault="00624D7A" w:rsidP="00624D7A">
      <w:pPr>
        <w:tabs>
          <w:tab w:val="left" w:pos="13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";</w:t>
      </w:r>
    </w:p>
    <w:p w:rsidR="00624D7A" w:rsidRPr="00624D7A" w:rsidRDefault="00624D7A" w:rsidP="00624D7A">
      <w:pPr>
        <w:tabs>
          <w:tab w:val="left" w:pos="13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Части 2 "Перечень основных мероприятий государственной программы Ленинградской области «Развитие здравоохранения в Ленинградской области"  строку 1  изложить в следующей редакции:</w:t>
      </w:r>
    </w:p>
    <w:p w:rsidR="00624D7A" w:rsidRPr="00624D7A" w:rsidRDefault="00624D7A" w:rsidP="00624D7A">
      <w:pPr>
        <w:tabs>
          <w:tab w:val="left" w:pos="13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2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319"/>
        <w:gridCol w:w="2721"/>
        <w:gridCol w:w="2914"/>
        <w:gridCol w:w="2154"/>
        <w:gridCol w:w="2584"/>
        <w:gridCol w:w="2211"/>
      </w:tblGrid>
      <w:tr w:rsidR="00624D7A" w:rsidRPr="00624D7A" w:rsidTr="00F42F2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 (региональный проект "Развитие детского здравоохранения, включая создание современной инфраструктуры оказания медицинской помощи детям.</w:t>
            </w:r>
            <w:proofErr w:type="gramEnd"/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область")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года - 31 декабря 2024 года.</w:t>
            </w:r>
          </w:p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младенческой смертности в Ленинградской области до 3,6 случая на 1 тыс. родившихся живыми путем совершенствования оказания специализированной, в том числе высокотехнологичной, медицинской помощи детям, повышения доступности и качества медицинской помощи на всех этапах ее оказания, а также профилактики заболеваемости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Младенческая смертность. Снижение смертности детей в возрасте 0-4 лет. Доля посещений с </w:t>
            </w:r>
            <w:proofErr w:type="gramStart"/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профилактической</w:t>
            </w:r>
            <w:proofErr w:type="gramEnd"/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иными целями детьми в возрасте 0-17 лет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охвата профилактическими и диспансерными осмотрами в целях обеспечения своевременного выявления заболеваний, в наибольшей степени влияющих на показатели </w:t>
            </w:r>
            <w:proofErr w:type="spellStart"/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инвалидизации</w:t>
            </w:r>
            <w:proofErr w:type="spellEnd"/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смертности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 учреждений здравоохранения</w:t>
            </w:r>
          </w:p>
        </w:tc>
      </w:tr>
    </w:tbl>
    <w:p w:rsidR="00624D7A" w:rsidRPr="00624D7A" w:rsidRDefault="00624D7A" w:rsidP="00624D7A">
      <w:pPr>
        <w:tabs>
          <w:tab w:val="left" w:pos="1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".</w:t>
      </w:r>
    </w:p>
    <w:p w:rsidR="00624D7A" w:rsidRPr="00624D7A" w:rsidRDefault="00624D7A" w:rsidP="00624D7A">
      <w:pPr>
        <w:tabs>
          <w:tab w:val="left" w:pos="13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24D7A" w:rsidRPr="00624D7A" w:rsidRDefault="00624D7A" w:rsidP="00624D7A">
      <w:pPr>
        <w:tabs>
          <w:tab w:val="left" w:pos="13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 приложении 2 к Программе в таблице </w:t>
      </w:r>
      <w:r w:rsidRPr="00624D7A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24D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показателях (индикаторах) государственной программы Ленинградской области "Развитие здравоохранения в Ленинградской области" и их значениях Комитет по здравоохранению ленинградской области":</w:t>
      </w:r>
    </w:p>
    <w:p w:rsidR="00624D7A" w:rsidRPr="00624D7A" w:rsidRDefault="00624D7A" w:rsidP="00624D7A">
      <w:pPr>
        <w:tabs>
          <w:tab w:val="left" w:pos="133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tabs>
          <w:tab w:val="left" w:pos="133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строку 1 изложить в следующей редакции:</w:t>
      </w:r>
    </w:p>
    <w:p w:rsidR="00624D7A" w:rsidRPr="00624D7A" w:rsidRDefault="00624D7A" w:rsidP="00624D7A">
      <w:pPr>
        <w:tabs>
          <w:tab w:val="left" w:pos="133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2119"/>
        <w:gridCol w:w="1882"/>
        <w:gridCol w:w="1571"/>
        <w:gridCol w:w="763"/>
        <w:gridCol w:w="734"/>
        <w:gridCol w:w="747"/>
        <w:gridCol w:w="726"/>
        <w:gridCol w:w="960"/>
        <w:gridCol w:w="960"/>
        <w:gridCol w:w="960"/>
        <w:gridCol w:w="960"/>
        <w:gridCol w:w="2020"/>
      </w:tblGrid>
      <w:tr w:rsidR="00624D7A" w:rsidRPr="00624D7A" w:rsidTr="00F42F2A">
        <w:trPr>
          <w:trHeight w:val="375"/>
        </w:trPr>
        <w:tc>
          <w:tcPr>
            <w:tcW w:w="385" w:type="dxa"/>
            <w:vMerge w:val="restart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vMerge w:val="restart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Общая смертность населения</w:t>
            </w:r>
          </w:p>
        </w:tc>
        <w:tc>
          <w:tcPr>
            <w:tcW w:w="1882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571" w:type="dxa"/>
            <w:vMerge w:val="restart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на 1000 населения</w:t>
            </w:r>
          </w:p>
        </w:tc>
        <w:tc>
          <w:tcPr>
            <w:tcW w:w="763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734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747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726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96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96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96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96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202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24D7A" w:rsidRPr="00624D7A" w:rsidTr="00F42F2A">
        <w:trPr>
          <w:trHeight w:val="375"/>
        </w:trPr>
        <w:tc>
          <w:tcPr>
            <w:tcW w:w="385" w:type="dxa"/>
            <w:vMerge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571" w:type="dxa"/>
            <w:vMerge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734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747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726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24D7A" w:rsidRPr="00624D7A" w:rsidRDefault="00624D7A" w:rsidP="00624D7A">
      <w:pPr>
        <w:tabs>
          <w:tab w:val="left" w:pos="133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";</w:t>
      </w:r>
    </w:p>
    <w:p w:rsidR="00624D7A" w:rsidRPr="00624D7A" w:rsidRDefault="00624D7A" w:rsidP="00624D7A">
      <w:pPr>
        <w:tabs>
          <w:tab w:val="left" w:pos="133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строку 6 изложить в следующей редакции:</w:t>
      </w:r>
    </w:p>
    <w:p w:rsidR="00624D7A" w:rsidRPr="00624D7A" w:rsidRDefault="00624D7A" w:rsidP="0062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644"/>
        <w:gridCol w:w="1360"/>
        <w:gridCol w:w="124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24D7A" w:rsidRPr="00624D7A" w:rsidTr="00F42F2A">
        <w:trPr>
          <w:trHeight w:val="73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Младенческая смертность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1000 </w:t>
            </w:r>
            <w:proofErr w:type="gramStart"/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живыми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624D7A" w:rsidRPr="00624D7A" w:rsidTr="00F42F2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A" w:rsidRPr="00624D7A" w:rsidRDefault="00624D7A" w:rsidP="00624D7A">
            <w:pPr>
              <w:tabs>
                <w:tab w:val="left" w:pos="133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4D7A" w:rsidRPr="00624D7A" w:rsidRDefault="00624D7A" w:rsidP="00624D7A">
      <w:pPr>
        <w:tabs>
          <w:tab w:val="right" w:pos="145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624D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24D7A" w:rsidRPr="00624D7A" w:rsidRDefault="00624D7A" w:rsidP="00624D7A">
      <w:pPr>
        <w:tabs>
          <w:tab w:val="left" w:pos="133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строку 7 изложить в следующей редакции:</w:t>
      </w:r>
    </w:p>
    <w:p w:rsidR="00624D7A" w:rsidRPr="00624D7A" w:rsidRDefault="00624D7A" w:rsidP="0062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"/>
        <w:gridCol w:w="2373"/>
        <w:gridCol w:w="1811"/>
        <w:gridCol w:w="1490"/>
        <w:gridCol w:w="730"/>
        <w:gridCol w:w="718"/>
        <w:gridCol w:w="723"/>
        <w:gridCol w:w="714"/>
        <w:gridCol w:w="960"/>
        <w:gridCol w:w="960"/>
        <w:gridCol w:w="960"/>
        <w:gridCol w:w="960"/>
        <w:gridCol w:w="2020"/>
      </w:tblGrid>
      <w:tr w:rsidR="00624D7A" w:rsidRPr="00624D7A" w:rsidTr="00F42F2A">
        <w:trPr>
          <w:trHeight w:val="375"/>
        </w:trPr>
        <w:tc>
          <w:tcPr>
            <w:tcW w:w="700" w:type="dxa"/>
            <w:vMerge w:val="restart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40" w:type="dxa"/>
            <w:vMerge w:val="restart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Обеспеченность населения врачами</w:t>
            </w:r>
          </w:p>
        </w:tc>
        <w:tc>
          <w:tcPr>
            <w:tcW w:w="328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3160" w:type="dxa"/>
            <w:vMerge w:val="restart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на 10 тыс. населения</w:t>
            </w:r>
          </w:p>
        </w:tc>
        <w:tc>
          <w:tcPr>
            <w:tcW w:w="142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6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2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96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96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96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96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96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624D7A">
              <w:rPr>
                <w:rFonts w:ascii="Times New Roman" w:hAnsi="Times New Roman"/>
                <w:sz w:val="28"/>
                <w:szCs w:val="28"/>
              </w:rPr>
              <w:t xml:space="preserve">,7 </w:t>
            </w:r>
          </w:p>
        </w:tc>
        <w:tc>
          <w:tcPr>
            <w:tcW w:w="202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24D7A" w:rsidRPr="00624D7A" w:rsidTr="00F42F2A">
        <w:trPr>
          <w:trHeight w:val="375"/>
        </w:trPr>
        <w:tc>
          <w:tcPr>
            <w:tcW w:w="700" w:type="dxa"/>
            <w:vMerge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0" w:type="dxa"/>
            <w:vMerge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3160" w:type="dxa"/>
            <w:vMerge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6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  <w:tc>
          <w:tcPr>
            <w:tcW w:w="122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  <w:tc>
          <w:tcPr>
            <w:tcW w:w="960" w:type="dxa"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624D7A" w:rsidRPr="00624D7A" w:rsidRDefault="00624D7A" w:rsidP="00624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24D7A" w:rsidRPr="00624D7A" w:rsidRDefault="00624D7A" w:rsidP="00624D7A">
      <w:pPr>
        <w:tabs>
          <w:tab w:val="left" w:pos="1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".</w:t>
      </w:r>
    </w:p>
    <w:p w:rsidR="00624D7A" w:rsidRPr="00624D7A" w:rsidRDefault="00624D7A" w:rsidP="00624D7A">
      <w:pPr>
        <w:tabs>
          <w:tab w:val="left" w:pos="13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строку 37 изложить в следующей редакции:</w:t>
      </w:r>
    </w:p>
    <w:p w:rsidR="00624D7A" w:rsidRPr="00624D7A" w:rsidRDefault="00624D7A" w:rsidP="00624D7A">
      <w:pPr>
        <w:tabs>
          <w:tab w:val="left" w:pos="1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D7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"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275"/>
        <w:gridCol w:w="993"/>
        <w:gridCol w:w="992"/>
        <w:gridCol w:w="992"/>
        <w:gridCol w:w="851"/>
        <w:gridCol w:w="850"/>
        <w:gridCol w:w="851"/>
        <w:gridCol w:w="850"/>
        <w:gridCol w:w="709"/>
        <w:gridCol w:w="709"/>
      </w:tblGrid>
      <w:tr w:rsidR="00624D7A" w:rsidRPr="00624D7A" w:rsidTr="00F42F2A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Перечисление межбюджетных трансфертов, передаваемых из бюджета Ленинградской области бюджету Территориального фонда обязательного медицинского страхования в части базовой программы ОМС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624D7A" w:rsidRPr="00624D7A" w:rsidTr="00F42F2A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7A" w:rsidRPr="00624D7A" w:rsidRDefault="00624D7A" w:rsidP="006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7A" w:rsidRPr="00624D7A" w:rsidRDefault="00624D7A" w:rsidP="006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7A" w:rsidRPr="00624D7A" w:rsidRDefault="00624D7A" w:rsidP="006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24D7A" w:rsidRPr="00624D7A" w:rsidRDefault="00624D7A" w:rsidP="00624D7A">
      <w:pPr>
        <w:tabs>
          <w:tab w:val="left" w:pos="133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".</w:t>
      </w:r>
    </w:p>
    <w:p w:rsidR="00624D7A" w:rsidRPr="00624D7A" w:rsidRDefault="00624D7A" w:rsidP="0062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4D7A" w:rsidRPr="00624D7A" w:rsidRDefault="00624D7A" w:rsidP="00624D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В Приложении 4 к Программе  в таблице </w:t>
      </w:r>
      <w:r w:rsidRPr="00624D7A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реализации государственной программы Ленинградской области «Развитие здравоохранения в Ленинградской области</w:t>
      </w:r>
      <w:r w:rsidRPr="00624D7A">
        <w:rPr>
          <w:rFonts w:ascii="Times New Roman" w:eastAsiaTheme="minorEastAsia" w:hAnsi="Times New Roman" w:cs="Times New Roman"/>
          <w:sz w:val="28"/>
          <w:szCs w:val="28"/>
          <w:lang w:eastAsia="ru-RU"/>
        </w:rPr>
        <w:t>":</w:t>
      </w:r>
    </w:p>
    <w:p w:rsidR="00624D7A" w:rsidRPr="00624D7A" w:rsidRDefault="00624D7A" w:rsidP="00624D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trike/>
          <w:color w:val="FF0000"/>
          <w:sz w:val="28"/>
          <w:szCs w:val="20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строки 4.4-4.5 в следующей редакции</w:t>
      </w:r>
      <w:r w:rsidRPr="00624D7A"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  <w:t>:</w:t>
      </w:r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62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4D7A" w:rsidRPr="00624D7A" w:rsidRDefault="00624D7A" w:rsidP="00624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417"/>
        <w:gridCol w:w="1843"/>
        <w:gridCol w:w="1559"/>
        <w:gridCol w:w="1560"/>
        <w:gridCol w:w="1708"/>
        <w:gridCol w:w="1773"/>
      </w:tblGrid>
      <w:tr w:rsidR="00624D7A" w:rsidRPr="00624D7A" w:rsidTr="00F42F2A">
        <w:trPr>
          <w:trHeight w:val="300"/>
        </w:trPr>
        <w:tc>
          <w:tcPr>
            <w:tcW w:w="2518" w:type="dxa"/>
            <w:vMerge w:val="restart"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624D7A">
              <w:rPr>
                <w:rFonts w:ascii="Times New Roman" w:hAnsi="Times New Roman"/>
                <w:sz w:val="24"/>
                <w:szCs w:val="24"/>
              </w:rPr>
              <w:br/>
              <w:t>4.4 "Строительство (реконструкция) объектов здравоохранения и приобретение объектов недвижимого имущества для ну</w:t>
            </w:r>
            <w:proofErr w:type="gramStart"/>
            <w:r w:rsidRPr="00624D7A">
              <w:rPr>
                <w:rFonts w:ascii="Times New Roman" w:hAnsi="Times New Roman"/>
                <w:sz w:val="24"/>
                <w:szCs w:val="24"/>
              </w:rPr>
              <w:t>жд здр</w:t>
            </w:r>
            <w:proofErr w:type="gramEnd"/>
            <w:r w:rsidRPr="00624D7A">
              <w:rPr>
                <w:rFonts w:ascii="Times New Roman" w:hAnsi="Times New Roman"/>
                <w:sz w:val="24"/>
                <w:szCs w:val="24"/>
              </w:rPr>
              <w:t>авоохранения"</w:t>
            </w:r>
          </w:p>
        </w:tc>
        <w:tc>
          <w:tcPr>
            <w:tcW w:w="2410" w:type="dxa"/>
            <w:vMerge w:val="restart"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Комитет по строительству Ленинградской области</w:t>
            </w: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1 036 177,2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1 036 177,2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D7A" w:rsidRPr="00624D7A" w:rsidTr="00F42F2A">
        <w:trPr>
          <w:trHeight w:val="300"/>
        </w:trPr>
        <w:tc>
          <w:tcPr>
            <w:tcW w:w="2518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1 625 008,0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1 625 008,0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D7A" w:rsidRPr="00624D7A" w:rsidTr="00F42F2A">
        <w:trPr>
          <w:trHeight w:val="300"/>
        </w:trPr>
        <w:tc>
          <w:tcPr>
            <w:tcW w:w="2518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1 006 588,4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1 006 588,4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D7A" w:rsidRPr="00624D7A" w:rsidTr="00F42F2A">
        <w:trPr>
          <w:trHeight w:val="285"/>
        </w:trPr>
        <w:tc>
          <w:tcPr>
            <w:tcW w:w="2518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1 416 833,1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246 005,4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1 170 827,7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D7A" w:rsidRPr="00624D7A" w:rsidTr="00F42F2A">
        <w:trPr>
          <w:trHeight w:val="270"/>
        </w:trPr>
        <w:tc>
          <w:tcPr>
            <w:tcW w:w="2518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1 477 422,4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378 309,9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1 099 112,5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D7A" w:rsidRPr="00624D7A" w:rsidTr="00F42F2A">
        <w:trPr>
          <w:trHeight w:val="270"/>
        </w:trPr>
        <w:tc>
          <w:tcPr>
            <w:tcW w:w="2518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1 130 611,1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473 569,1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657 042,0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D7A" w:rsidRPr="00624D7A" w:rsidTr="00F42F2A">
        <w:trPr>
          <w:trHeight w:val="270"/>
        </w:trPr>
        <w:tc>
          <w:tcPr>
            <w:tcW w:w="2518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928 390,0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614 151,0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314 239,0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D7A" w:rsidRPr="00624D7A" w:rsidTr="00F42F2A">
        <w:trPr>
          <w:trHeight w:val="270"/>
        </w:trPr>
        <w:tc>
          <w:tcPr>
            <w:tcW w:w="2518" w:type="dxa"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8 621 030,2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1 712 035,4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6 908 994,8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24D7A" w:rsidRPr="00624D7A" w:rsidTr="00F42F2A">
        <w:trPr>
          <w:trHeight w:val="300"/>
        </w:trPr>
        <w:tc>
          <w:tcPr>
            <w:tcW w:w="2518" w:type="dxa"/>
            <w:vMerge w:val="restart"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</w:t>
            </w:r>
            <w:r w:rsidRPr="00624D7A">
              <w:rPr>
                <w:rFonts w:ascii="Times New Roman" w:hAnsi="Times New Roman"/>
                <w:sz w:val="24"/>
                <w:szCs w:val="24"/>
              </w:rPr>
              <w:br/>
            </w:r>
            <w:r w:rsidRPr="00624D7A">
              <w:rPr>
                <w:rFonts w:ascii="Times New Roman" w:hAnsi="Times New Roman"/>
                <w:sz w:val="24"/>
                <w:szCs w:val="24"/>
              </w:rPr>
              <w:lastRenderedPageBreak/>
              <w:t>4.5 "Мероприятия, направленные на укрепление материально-технической базы учреждений здравоохранения"</w:t>
            </w:r>
          </w:p>
        </w:tc>
        <w:tc>
          <w:tcPr>
            <w:tcW w:w="2410" w:type="dxa"/>
            <w:vMerge w:val="restart"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здравоохранению </w:t>
            </w:r>
            <w:r w:rsidRPr="00624D7A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1 398 763,3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15 982,8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1 382 780,5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24D7A" w:rsidRPr="00624D7A" w:rsidTr="00F42F2A">
        <w:trPr>
          <w:trHeight w:val="300"/>
        </w:trPr>
        <w:tc>
          <w:tcPr>
            <w:tcW w:w="2518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2 587 201,1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19 601,4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2 567 599,7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24D7A" w:rsidRPr="00624D7A" w:rsidTr="00F42F2A">
        <w:trPr>
          <w:trHeight w:val="300"/>
        </w:trPr>
        <w:tc>
          <w:tcPr>
            <w:tcW w:w="2518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5 053 421,8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1 561 930,7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3 491 491,1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24D7A" w:rsidRPr="00624D7A" w:rsidTr="00F42F2A">
        <w:trPr>
          <w:trHeight w:val="300"/>
        </w:trPr>
        <w:tc>
          <w:tcPr>
            <w:tcW w:w="2518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3 130 915,4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451 735,8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2 679 179,6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24D7A" w:rsidRPr="00624D7A" w:rsidTr="00F42F2A">
        <w:trPr>
          <w:trHeight w:val="300"/>
        </w:trPr>
        <w:tc>
          <w:tcPr>
            <w:tcW w:w="2518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1 884 664,6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324 745,6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1 559 919,0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24D7A" w:rsidRPr="00624D7A" w:rsidTr="00F42F2A">
        <w:trPr>
          <w:trHeight w:val="300"/>
        </w:trPr>
        <w:tc>
          <w:tcPr>
            <w:tcW w:w="2518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1 338 238,4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229 486,4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1 351 060,4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24D7A" w:rsidRPr="00624D7A" w:rsidTr="00F42F2A">
        <w:trPr>
          <w:trHeight w:val="300"/>
        </w:trPr>
        <w:tc>
          <w:tcPr>
            <w:tcW w:w="2518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1 645 958,6</w:t>
            </w:r>
          </w:p>
        </w:tc>
        <w:tc>
          <w:tcPr>
            <w:tcW w:w="1559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234 293,2</w:t>
            </w:r>
          </w:p>
        </w:tc>
        <w:tc>
          <w:tcPr>
            <w:tcW w:w="1560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1 411 665,4</w:t>
            </w:r>
          </w:p>
        </w:tc>
        <w:tc>
          <w:tcPr>
            <w:tcW w:w="1708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noWrap/>
            <w:hideMark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24D7A" w:rsidRPr="00624D7A" w:rsidTr="00F42F2A">
        <w:trPr>
          <w:trHeight w:val="300"/>
        </w:trPr>
        <w:tc>
          <w:tcPr>
            <w:tcW w:w="2518" w:type="dxa"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17 039 163,1</w:t>
            </w:r>
          </w:p>
        </w:tc>
        <w:tc>
          <w:tcPr>
            <w:tcW w:w="1559" w:type="dxa"/>
            <w:noWrap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2 837 775,9</w:t>
            </w:r>
          </w:p>
        </w:tc>
        <w:tc>
          <w:tcPr>
            <w:tcW w:w="1560" w:type="dxa"/>
            <w:noWrap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14 201 387,2</w:t>
            </w:r>
          </w:p>
        </w:tc>
        <w:tc>
          <w:tcPr>
            <w:tcW w:w="1708" w:type="dxa"/>
            <w:noWrap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noWrap/>
          </w:tcPr>
          <w:p w:rsidR="00624D7A" w:rsidRPr="00624D7A" w:rsidRDefault="00624D7A" w:rsidP="00624D7A">
            <w:pPr>
              <w:rPr>
                <w:rFonts w:ascii="Times New Roman" w:hAnsi="Times New Roman"/>
                <w:sz w:val="24"/>
                <w:szCs w:val="24"/>
              </w:rPr>
            </w:pPr>
            <w:r w:rsidRPr="00624D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24D7A" w:rsidRPr="00624D7A" w:rsidRDefault="00624D7A" w:rsidP="0062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".</w:t>
      </w:r>
    </w:p>
    <w:p w:rsidR="00624D7A" w:rsidRDefault="00624D7A">
      <w:pPr>
        <w:sectPr w:rsidR="00624D7A" w:rsidSect="00624D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br w:type="page"/>
      </w:r>
    </w:p>
    <w:p w:rsidR="00624D7A" w:rsidRPr="00624D7A" w:rsidRDefault="00624D7A" w:rsidP="0062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24D7A" w:rsidRPr="00624D7A" w:rsidRDefault="00624D7A" w:rsidP="0062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624D7A" w:rsidRPr="00624D7A" w:rsidRDefault="00624D7A" w:rsidP="0062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постановление Правительства Ленинградской области от 14 ноября 2013 года №405 «Об утверждении государственной программы Ленинградской области «Развитие здравоохранения в Ленинградской области»</w:t>
      </w:r>
    </w:p>
    <w:p w:rsidR="00624D7A" w:rsidRPr="00624D7A" w:rsidRDefault="00624D7A" w:rsidP="0062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здравоохранению Ленинградской области (далее – Комитет) подготовлен проект постановления Правительства Ленинградской области «О внесении изменений в постановление Правительства Ленинградской области от 14.11.2013 г. №405 «Об утверждении государственной программы Ленинградской области «Развитие здравоохранения в Ленинградской области» (далее - Программа).</w:t>
      </w:r>
    </w:p>
    <w:p w:rsidR="00624D7A" w:rsidRPr="00624D7A" w:rsidRDefault="00624D7A" w:rsidP="00624D7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подпрограмме 1 ««Первичная медико-санитарная помощь. </w:t>
      </w:r>
      <w:proofErr w:type="gramStart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 и формирование здорового образа жизни» в таблице 2 «Перечень медицинских изделий для приобретения до 31 декабря 2020 года в рамках реализации федерального проекта «Развитие детского здравоохранения, включая создание современной инфраструктуры оказания медицинской помощи детям» вносятся изменения в связи с образовавшейся экономией денежных средств в 2020 году, за которые соответственно заключены государственные контракты на поставку медицинского оборудования.</w:t>
      </w:r>
      <w:proofErr w:type="gramEnd"/>
    </w:p>
    <w:p w:rsidR="00624D7A" w:rsidRPr="00624D7A" w:rsidRDefault="00624D7A" w:rsidP="00624D7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статьи 217 Бюджетного кодекса Российской Федерации Комитет планирует внесение изменений в сводную бюджетную роспись областного бюджета Ленинградской области в части перераспределения бюджетных ассигнований, предусмотренных  областным законом от 22.12.2020 г. №143-оз «Об областном бюджете ленинградской области на 2021 год и на плановый период 2022 и 2023 годов» по Комитету бюджетных средств областного бюджета Ленинградской области на</w:t>
      </w:r>
      <w:proofErr w:type="gramEnd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региональной программы модернизации первичного звена здравоохранения. </w:t>
      </w:r>
    </w:p>
    <w:p w:rsidR="00624D7A" w:rsidRPr="00624D7A" w:rsidRDefault="00624D7A" w:rsidP="00624D7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подпрограмме 4 «Организация территориальной модели здравоохранения Ленинградской области» средства на 2021-2024 года по Комитету перераспределены с основного мероприятия  4.5 "Мероприятия, направленные на укрепление материально-технической базы учреждений здравоохранения") на основное мероприятие 4.4 "Строительство (реконструкция) объектов здравоохранения и приобретение объектов недвижимого имущества для нужд здравоохранения" на 2021 год в сумме 371 877,5 тыс. руб., на 2022 год 571877,5 тыс. руб., на</w:t>
      </w:r>
      <w:proofErr w:type="gramEnd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715 877,5 тыс. руб., на 2024 год 928 390 тыс. руб. без изменения финансирования предусмотренного по подпрограмме 4 «Организация территориальной модели здравоохранения Ленинградской области»  бюджетных ассигнований. </w:t>
      </w:r>
    </w:p>
    <w:p w:rsidR="00624D7A" w:rsidRPr="00624D7A" w:rsidRDefault="00624D7A" w:rsidP="00624D7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Территориальной программой государственных гарантий бесплатного оказания гражданам медицинской помощи в Ленинградской области на 2021 год и на плановый период 2022 и 2023 годов в Приложении 2 изменены значения показателя «Общая смертность населения». Также в соответствии с соглашениями, заключенными в 2020 году с Министерством здравоохранения </w:t>
      </w: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в рамках реализации региональных проектов, были изменены показатели «Младенческая смертность» и «Обеспеченность населения врачами».</w:t>
      </w:r>
    </w:p>
    <w:p w:rsidR="00624D7A" w:rsidRPr="00624D7A" w:rsidRDefault="00624D7A" w:rsidP="00624D7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624D7A" w:rsidRPr="00624D7A" w:rsidRDefault="00624D7A" w:rsidP="00624D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7A" w:rsidRPr="00624D7A" w:rsidRDefault="00624D7A" w:rsidP="00624D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1" w:name="_GoBack"/>
      <w:bookmarkEnd w:id="1"/>
      <w:r w:rsidRPr="006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С.В. Вылегжанин</w:t>
      </w:r>
    </w:p>
    <w:p w:rsidR="00624D7A" w:rsidRDefault="00624D7A"/>
    <w:p w:rsidR="00624D7A" w:rsidRDefault="00624D7A">
      <w:r>
        <w:br w:type="page"/>
      </w:r>
    </w:p>
    <w:p w:rsidR="007B1594" w:rsidRDefault="007B1594"/>
    <w:sectPr w:rsidR="007B1594" w:rsidSect="0062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1FB"/>
    <w:multiLevelType w:val="hybridMultilevel"/>
    <w:tmpl w:val="C5B8C8A6"/>
    <w:lvl w:ilvl="0" w:tplc="5D34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9"/>
    <w:rsid w:val="00624D7A"/>
    <w:rsid w:val="007B1594"/>
    <w:rsid w:val="00B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2362</Words>
  <Characters>13468</Characters>
  <Application>Microsoft Office Word</Application>
  <DocSecurity>0</DocSecurity>
  <Lines>112</Lines>
  <Paragraphs>31</Paragraphs>
  <ScaleCrop>false</ScaleCrop>
  <Company/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Кожевникова</dc:creator>
  <cp:keywords/>
  <dc:description/>
  <cp:lastModifiedBy>Мария Андреевна Кожевникова</cp:lastModifiedBy>
  <cp:revision>2</cp:revision>
  <dcterms:created xsi:type="dcterms:W3CDTF">2021-02-09T15:43:00Z</dcterms:created>
  <dcterms:modified xsi:type="dcterms:W3CDTF">2021-02-09T15:45:00Z</dcterms:modified>
</cp:coreProperties>
</file>