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ПЕРЕЧЕНЬ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ГРУПП НАСЕЛЕНИЯ И КАТЕГОРИЙ ЗАБОЛЕВАНИЙ, ПРИ </w:t>
      </w:r>
      <w:proofErr w:type="gramStart"/>
      <w:r w:rsidRPr="006E30F9">
        <w:rPr>
          <w:rFonts w:ascii="Times New Roman" w:hAnsi="Times New Roman" w:cs="Times New Roman"/>
          <w:sz w:val="28"/>
          <w:szCs w:val="28"/>
        </w:rPr>
        <w:t>АМБУЛАТОРНОМ</w:t>
      </w:r>
      <w:proofErr w:type="gramEnd"/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0F9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6E30F9">
        <w:rPr>
          <w:rFonts w:ascii="Times New Roman" w:hAnsi="Times New Roman" w:cs="Times New Roman"/>
          <w:sz w:val="28"/>
          <w:szCs w:val="28"/>
        </w:rPr>
        <w:t xml:space="preserve"> КОТОРЫХ ЛЕКАРСТВЕННЫЕ ПРЕПАРАТЫ, МЕДИЦИНСКИЕ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ИЗДЕЛИЯ, СПЕЦИАЛИЗИРОВАННЫЕ ПРОДУКТЫ ЛЕЧЕБНОГО ПИТАНИЯ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ОТПУСКАЮТСЯ ПО РЕЦЕПТАМ ВРАЧЕЙ БЕСПЛАТНО ЗА СЧЕТ СРЕДСТВ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52"/>
        <w:gridCol w:w="5039"/>
      </w:tblGrid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Перечень групп населения и категорий заболеваний &lt;1&gt;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Наименования лекарственных средств и медицинских изделий &lt;2&gt;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Дети первых трех лет жизни, а также дети из многодетных семей в возрасте до шести лет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Детские церебральные параличи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указанной категории заболеваний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Гепатоцеребральная дистрофия и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Низкобелковые продукты питания, белковые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гидролизаты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ферменты,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, витамины, биостимуляторы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Ферменты, антибиотики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Острая перемежающаяся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порфирия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СПИД, </w:t>
            </w:r>
            <w:proofErr w:type="gram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ВИЧ-инфицированные</w:t>
            </w:r>
            <w:proofErr w:type="gramEnd"/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Все лекарственные средства, перевязочные средства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инкурабельным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онкологическим больным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Гематологические заболевания,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гемобластозы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цитопения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наследственные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гемопатии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иммунодепрессанты,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иммунокорректоры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, стероидные и нестероидные гормоны, антибиотики и другие препараты для лечения указанных заболеваний и коррекции осложнений их лечения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Лучевая болезнь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средства, необходимые </w:t>
            </w:r>
            <w:r w:rsidRPr="006E3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лечения указанного заболевания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Лепра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Противотуберкулезные препараты,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гепатопротекторы</w:t>
            </w:r>
            <w:proofErr w:type="spellEnd"/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Тяжелая форма бруцеллеза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Системные хронические тяжелые заболевания кожи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указанных заболеваний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указанного заболевания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Стероидные гормоны, селективные иммунодепрессанты, ингибиторы фактора некроза опухоли альфа (ФНО альфа), ингибиторы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интерлейкина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коронаролитики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мочегонные, антагонисты кальция, препараты калия,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хондропротекторы</w:t>
            </w:r>
            <w:proofErr w:type="spellEnd"/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Неспецифический язвенный колит, болезнь Крона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кислота и аналогичные препараты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Инфаркт миокарда (первые двенадцать месяцев)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после </w:t>
            </w:r>
            <w:proofErr w:type="gram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коронарного</w:t>
            </w:r>
            <w:proofErr w:type="gram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стентирования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(первые двенадцать месяцев)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Состояние после операции по протезированию клапанов сердца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Антикоагулянты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Другая вторичная легочная гипертензия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Пересадка органов и тканей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Иммунодепрессанты,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стероидные гормоны, противогрибковые,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противогерпетические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противоиммуновирусные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препараты, антибиотики,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уросептики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антикоагулянты,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дезагреганты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коронаролитики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антагонисты кальция, препараты калия, гипотензивные препараты, спазмолитики, диуретики,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гепатопротекторы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, ферменты поджелудочной железы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Диабет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Все лекарственные средства, инсулиновые шприцы,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инъекторы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, иглы к ним, средства диагностики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Гипофизарный нанизм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тиреоидные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препараты, поливитамины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Преждевременное половое созревание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данного заболевания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Акромегалия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ланреотид</w:t>
            </w:r>
            <w:proofErr w:type="spellEnd"/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Рассеянный склероз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Миастения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лекарственные средства, стероидные гормоны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Миопатия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Мозжечковая атаксия Мари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Болезнь Паркинсона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средства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Хронические урологические заболевания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Катетеры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Пеццера</w:t>
            </w:r>
            <w:proofErr w:type="spellEnd"/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Антибиотики, препараты висмута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Глаукома, катаракта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Антихолинэстеразные, холиномиметические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дегидратационные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, мочегонные средства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Психические заболевания (больным, работающим на лечебно-производственных государственных предприятиях,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Аддисонова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Гормоны коры надпочечников (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минерал</w:t>
            </w:r>
            <w:proofErr w:type="gram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Шизофрения и эпилепсия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Хроническая почечная недостаточность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проведения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перитонеального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диализа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Жертвы политических репрессий, реабилитированные лица и лица, признанные пострадавшими от политических репрессий, в соответствии с </w:t>
            </w:r>
            <w:hyperlink r:id="rId5" w:tooltip="Закон РФ от 18.10.1991 N 1761-1 (ред. от 28.12.2022) &quot;О реабилитации жертв политических репрессий&quot; {КонсультантПлюс}">
              <w:r w:rsidRPr="006E30F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18 октября 1991 года № 1761-1 "О реабилитации жертв политических репрессий"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</w:tbl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&lt;1&gt; За исключением граждан, включенных в Федеральный регистр лиц, имеющих право на получение государственной социальной помощи, предусмотренной </w:t>
      </w:r>
      <w:hyperlink r:id="rId6" w:tooltip="Федеральный закон от 17.07.1999 N 178-ФЗ (ред. от 24.07.2023) &quot;О государственной социальной помощи&quot; {КонсультантПлюс}">
        <w:r w:rsidRPr="006E30F9">
          <w:rPr>
            <w:rFonts w:ascii="Times New Roman" w:hAnsi="Times New Roman" w:cs="Times New Roman"/>
            <w:sz w:val="28"/>
            <w:szCs w:val="28"/>
          </w:rPr>
          <w:t>пунктом 1 части 1 статьи 6.2</w:t>
        </w:r>
      </w:hyperlink>
      <w:r w:rsidRPr="006E30F9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1999 года № 178-ФЗ "О государственной социальной помощи".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6E30F9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6E30F9">
        <w:rPr>
          <w:rFonts w:ascii="Times New Roman" w:hAnsi="Times New Roman" w:cs="Times New Roman"/>
          <w:sz w:val="28"/>
          <w:szCs w:val="28"/>
        </w:rPr>
        <w:t xml:space="preserve"> соответствии с перечнем лекарственных средств,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области.</w:t>
      </w:r>
    </w:p>
    <w:p w:rsidR="00017482" w:rsidRPr="006E30F9" w:rsidRDefault="00017482" w:rsidP="00017482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52"/>
      <w:bookmarkEnd w:id="0"/>
      <w:r w:rsidRPr="006E30F9">
        <w:rPr>
          <w:rFonts w:ascii="Times New Roman" w:hAnsi="Times New Roman" w:cs="Times New Roman"/>
          <w:sz w:val="28"/>
          <w:szCs w:val="28"/>
        </w:rPr>
        <w:t>ПЕРЕЧЕНЬ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ЛЕКАРСТВЕННЫХ ПРЕПАРАТОВ, МЕДИЦИНСКИХ ИЗДЕЛИЙ,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ПРЕПАРАТЫ, МЕДИЦИНСКИЕ ИЗДЕЛИЯ, СПЕЦИАЛИЗИРОВАННЫЕ ПРОДУКТЫ ЛЕЧЕБНОГО ПИТАНИЯ ОТПУСКАЮТСЯ ПО РЕЦЕПТАМ ВРАЧЕЙ БЕСПЛАТНО ЗА СЧЕТ СРЕДСТВ ОБЛАСТНОГО БЮДЖЕТА ЛЕНИНГРАДСКОЙ ОБЛАСТИ</w:t>
      </w:r>
    </w:p>
    <w:p w:rsidR="00017482" w:rsidRPr="006E30F9" w:rsidRDefault="00017482" w:rsidP="00017482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Title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I. Лекарственные препараты, включенные в перечень жизненно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необходимых и важнейших лекарственных препаратов,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0F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6E30F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Российской Федерации на текущий год</w:t>
      </w:r>
    </w:p>
    <w:p w:rsidR="00017482" w:rsidRPr="006E30F9" w:rsidRDefault="00017482" w:rsidP="00017482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Title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II. Лекарственные препараты, не включенные в перечень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жизненно необходимых и важнейших лекарственных препаратов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52"/>
        <w:gridCol w:w="5039"/>
      </w:tblGrid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 (международное непатентованное наименование)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Лекарственная форма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Аминофенилмасляная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</w:rPr>
              <w:t xml:space="preserve"> кислота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Арипипразол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Гидразина сульфат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Таблетки, покрытые кишечнорастворимой оболочкой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Глимепирид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Глибенкламид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</w:rPr>
              <w:t xml:space="preserve"> + </w:t>
            </w: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Метформин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Таблетки, покрытые пленочной оболочкой, таблетки, покрытые оболочкой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Гопантеновая</w:t>
            </w:r>
            <w:proofErr w:type="spellEnd"/>
            <w:r w:rsidRPr="006E30F9">
              <w:rPr>
                <w:rFonts w:ascii="Times New Roman" w:hAnsi="Times New Roman" w:cs="Times New Roman"/>
                <w:sz w:val="28"/>
              </w:rPr>
              <w:t xml:space="preserve"> кислота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Икатибант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Раствор для подкожного введения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Клозапин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Клобазам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Ламотриджин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Латанопрост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Капли глазные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Летрозол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Таблетки, покрытые пленочной оболочкой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Рифапентин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Таблетки, покрытые пленочной оболочкой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Руфинамид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Таблетки, покрытые пленочной оболочкой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Силденафил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Таблетки, покрытые пленочной оболочкой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Хлорпротиксен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Таблетки, покрытые пленочной оболочкой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Цинка сульфат</w:t>
            </w:r>
          </w:p>
        </w:tc>
        <w:tc>
          <w:tcPr>
            <w:tcW w:w="5039" w:type="dxa"/>
          </w:tcPr>
          <w:p w:rsidR="00017482" w:rsidRPr="006E30F9" w:rsidRDefault="00017482" w:rsidP="00325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Таблетки, покрытые пленочной оболочкой</w:t>
            </w:r>
          </w:p>
        </w:tc>
      </w:tr>
      <w:tr w:rsidR="00017482" w:rsidRPr="006E30F9" w:rsidTr="00017482">
        <w:tc>
          <w:tcPr>
            <w:tcW w:w="510" w:type="dxa"/>
          </w:tcPr>
          <w:p w:rsidR="00017482" w:rsidRPr="006E30F9" w:rsidRDefault="00017482" w:rsidP="00325742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0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52" w:type="dxa"/>
          </w:tcPr>
          <w:p w:rsidR="00017482" w:rsidRPr="006E30F9" w:rsidRDefault="00017482" w:rsidP="00325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30F9">
              <w:rPr>
                <w:rFonts w:ascii="Times New Roman" w:hAnsi="Times New Roman" w:cs="Times New Roman"/>
                <w:sz w:val="28"/>
              </w:rPr>
              <w:t>Эксеместан</w:t>
            </w:r>
            <w:proofErr w:type="spellEnd"/>
          </w:p>
        </w:tc>
        <w:tc>
          <w:tcPr>
            <w:tcW w:w="5039" w:type="dxa"/>
          </w:tcPr>
          <w:p w:rsidR="00017482" w:rsidRPr="006E30F9" w:rsidRDefault="00017482" w:rsidP="00325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6E30F9">
              <w:rPr>
                <w:rFonts w:ascii="Times New Roman" w:hAnsi="Times New Roman" w:cs="Times New Roman"/>
                <w:sz w:val="28"/>
              </w:rPr>
              <w:t>Таблетки, покрытые пленочной оболочкой</w:t>
            </w:r>
          </w:p>
        </w:tc>
      </w:tr>
    </w:tbl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Title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III. Специализированные продукты лечебного питания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Специализированные продукты лечебного питания в соответствии с перечнем специализированных продуктов лечебного питания для детей-инвалидов, утвержденным Правительством Российской Федерации в установленном порядке.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Title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IV. Изделия медицинского назначения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Иглы инсулиновые.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0F9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Pr="006E30F9">
        <w:rPr>
          <w:rFonts w:ascii="Times New Roman" w:hAnsi="Times New Roman" w:cs="Times New Roman"/>
          <w:sz w:val="28"/>
          <w:szCs w:val="28"/>
        </w:rPr>
        <w:t xml:space="preserve"> для определения содержания глюкозы в крови.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Шприц-ручка.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Отсоединяемый колпачок с раствором </w:t>
      </w:r>
      <w:proofErr w:type="spellStart"/>
      <w:r w:rsidRPr="006E30F9">
        <w:rPr>
          <w:rFonts w:ascii="Times New Roman" w:hAnsi="Times New Roman" w:cs="Times New Roman"/>
          <w:sz w:val="28"/>
          <w:szCs w:val="28"/>
        </w:rPr>
        <w:t>повидон</w:t>
      </w:r>
      <w:proofErr w:type="spellEnd"/>
      <w:r w:rsidRPr="006E30F9">
        <w:rPr>
          <w:rFonts w:ascii="Times New Roman" w:hAnsi="Times New Roman" w:cs="Times New Roman"/>
          <w:sz w:val="28"/>
          <w:szCs w:val="28"/>
        </w:rPr>
        <w:t xml:space="preserve">-йода (для проведения процедуры </w:t>
      </w:r>
      <w:proofErr w:type="spellStart"/>
      <w:r w:rsidRPr="006E30F9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6E30F9">
        <w:rPr>
          <w:rFonts w:ascii="Times New Roman" w:hAnsi="Times New Roman" w:cs="Times New Roman"/>
          <w:sz w:val="28"/>
          <w:szCs w:val="28"/>
        </w:rPr>
        <w:t xml:space="preserve"> диализа).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482" w:rsidRDefault="00017482" w:rsidP="00017482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017482" w:rsidRDefault="00017482" w:rsidP="00017482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017482" w:rsidRDefault="00017482" w:rsidP="00017482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017482" w:rsidRDefault="00017482" w:rsidP="00017482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440"/>
      <w:bookmarkEnd w:id="2"/>
      <w:r w:rsidRPr="006E30F9">
        <w:rPr>
          <w:rFonts w:ascii="Times New Roman" w:hAnsi="Times New Roman" w:cs="Times New Roman"/>
          <w:sz w:val="28"/>
          <w:szCs w:val="28"/>
        </w:rPr>
        <w:t>ПОРЯДОК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ОБЕСПЕЧЕНИЯ ГРАЖДАН ЛЕКАРСТВЕННЫМИ ПРЕПАРАТАМИ,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А ТАКЖЕ МЕДИЦИНСКИМИ ИЗДЕЛИЯМИ, ВКЛЮЧЕННЫМИ В </w:t>
      </w:r>
      <w:proofErr w:type="gramStart"/>
      <w:r w:rsidRPr="006E30F9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ПЕРЕЧЕНЬ </w:t>
      </w:r>
      <w:proofErr w:type="gramStart"/>
      <w:r w:rsidRPr="006E30F9"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ИЗДЕЛИЙ, ИМПЛАНТИРУЕМЫХ В ОРГАНИЗМ ЧЕЛОВЕКА, </w:t>
      </w:r>
      <w:proofErr w:type="gramStart"/>
      <w:r w:rsidRPr="006E30F9">
        <w:rPr>
          <w:rFonts w:ascii="Times New Roman" w:hAnsi="Times New Roman" w:cs="Times New Roman"/>
          <w:sz w:val="28"/>
          <w:szCs w:val="28"/>
        </w:rPr>
        <w:t>ЛЕЧЕБНЫМ</w:t>
      </w:r>
      <w:proofErr w:type="gramEnd"/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ПИТАНИЕМ, В ТОМ ЧИСЛЕ СПЕЦИАЛИЗИРОВАННЫМИ ПРОДУКТАМИ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ЛЕЧЕБНОГО ПИТАНИЯ, ПО НАЗНАЧЕНИЮ ВРАЧА, А ТАКЖЕ </w:t>
      </w:r>
      <w:proofErr w:type="gramStart"/>
      <w:r w:rsidRPr="006E30F9">
        <w:rPr>
          <w:rFonts w:ascii="Times New Roman" w:hAnsi="Times New Roman" w:cs="Times New Roman"/>
          <w:sz w:val="28"/>
          <w:szCs w:val="28"/>
        </w:rPr>
        <w:t>ДОНОРСКОЙ</w:t>
      </w:r>
      <w:proofErr w:type="gramEnd"/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КРОВЬЮ И ЕЕ КОМПОНЕНТАМИ ПО МЕДИЦИНСКИМ ПОКАЗАНИЯМ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В СООТВЕТСТВИИ СО СТАНДАРТАМИ МЕДИЦИНСКОЙ ПОМОЩИ С УЧЕТОМ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ВИДОВ, УСЛОВИЙ И ФОРМ ОКАЗАНИЯ МЕДИЦИНСКОЙ ПОМОЩИ,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ЗА ИСКЛЮЧЕНИЕМ ЛЕЧЕБНОГО ПИТАНИЯ, В ТОМ ЧИСЛЕ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СПЕЦИАЛИЗИРОВАННЫХ ПРОДУКТОВ ЛЕЧЕБНОГО ПИТАНИЯ</w:t>
      </w:r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(ПО ЖЕЛАНИЮ ПАЦИЕНТА)</w:t>
      </w:r>
    </w:p>
    <w:p w:rsidR="00017482" w:rsidRPr="006E30F9" w:rsidRDefault="00017482" w:rsidP="00017482">
      <w:pPr>
        <w:pStyle w:val="ConsPlusNormal1"/>
        <w:spacing w:after="1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Title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Лекарственное обеспечение при оказании </w:t>
      </w:r>
      <w:proofErr w:type="gramStart"/>
      <w:r w:rsidRPr="006E30F9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медико-санитарной помощи, оказываемой в </w:t>
      </w:r>
      <w:proofErr w:type="gramStart"/>
      <w:r w:rsidRPr="006E30F9">
        <w:rPr>
          <w:rFonts w:ascii="Times New Roman" w:hAnsi="Times New Roman" w:cs="Times New Roman"/>
          <w:sz w:val="28"/>
          <w:szCs w:val="28"/>
        </w:rPr>
        <w:t>амбулаторных</w:t>
      </w:r>
      <w:proofErr w:type="gramEnd"/>
    </w:p>
    <w:p w:rsidR="00017482" w:rsidRPr="006E30F9" w:rsidRDefault="00017482" w:rsidP="00017482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30F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E30F9">
        <w:rPr>
          <w:rFonts w:ascii="Times New Roman" w:hAnsi="Times New Roman" w:cs="Times New Roman"/>
          <w:sz w:val="28"/>
          <w:szCs w:val="28"/>
        </w:rPr>
        <w:t xml:space="preserve"> в плановой форме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0F9">
        <w:rPr>
          <w:rFonts w:ascii="Times New Roman" w:hAnsi="Times New Roman" w:cs="Times New Roman"/>
          <w:sz w:val="28"/>
          <w:szCs w:val="28"/>
        </w:rPr>
        <w:t>Для определения показаний для назначения необходимых лекарственных препаратов для медицинского применения (далее - лекарственные препараты), медицинских изделий, специализированных продуктов лечебного питания граждане Российской Федерации, постоянно или преимущественно проживающие на территории Ленинградской области, иностранные граждане и лица без гражданства, постоянно проживающие на территории Ленинградской области, обращаются в медицинские организации, оказывающие первичную медико-санитарную помощь.</w:t>
      </w:r>
      <w:proofErr w:type="gramEnd"/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осуществляется обеспечение: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соответствии со </w:t>
      </w:r>
      <w:hyperlink r:id="rId7" w:tooltip="Федеральный закон от 17.07.1999 N 178-ФЗ (ред. от 24.07.2023) &quot;О государственной социальной помощи&quot; {КонсультантПлюс}">
        <w:r w:rsidRPr="006E30F9">
          <w:rPr>
            <w:rFonts w:ascii="Times New Roman" w:hAnsi="Times New Roman" w:cs="Times New Roman"/>
            <w:sz w:val="28"/>
            <w:szCs w:val="28"/>
          </w:rPr>
          <w:t>статьей 6.1</w:t>
        </w:r>
      </w:hyperlink>
      <w:r w:rsidRPr="006E30F9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1999 года № 178-ФЗ "О государственной социальной помощи";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предназначенными для лечения лиц, больных </w:t>
      </w:r>
      <w:proofErr w:type="spellStart"/>
      <w:r w:rsidRPr="006E30F9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6E30F9">
        <w:rPr>
          <w:rFonts w:ascii="Times New Roman" w:hAnsi="Times New Roman" w:cs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6E30F9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6E30F9">
        <w:rPr>
          <w:rFonts w:ascii="Times New Roman" w:hAnsi="Times New Roman" w:cs="Times New Roman"/>
          <w:sz w:val="28"/>
          <w:szCs w:val="28"/>
        </w:rPr>
        <w:t xml:space="preserve"> I, II и VI типов;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 граждан, включенных в установленном порядке в Федеральный регистр больных гемофилией, </w:t>
      </w:r>
      <w:proofErr w:type="spellStart"/>
      <w:r w:rsidRPr="006E30F9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6E30F9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</w:t>
      </w:r>
      <w:proofErr w:type="gramStart"/>
      <w:r w:rsidRPr="006E30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E30F9">
        <w:rPr>
          <w:rFonts w:ascii="Times New Roman" w:hAnsi="Times New Roman" w:cs="Times New Roman"/>
          <w:sz w:val="28"/>
          <w:szCs w:val="28"/>
        </w:rPr>
        <w:t xml:space="preserve">или) тканей, в соответствии с </w:t>
      </w:r>
      <w:hyperlink r:id="rId8" w:tooltip="Приказ Минздрава России от 15.02.2013 N 69н (ред. от 10.04.2015) &quot;О мерах по реализации постановления Правительства Российской Федерации от 26 апреля 2012 г. N 404 &quot;Об утверждении Правил ведения Федерального регистра лиц, больных гемофилией, муковисцидозом, ги">
        <w:r w:rsidRPr="006E30F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E30F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 февраля 2013 года № 69н "О мерах по реализации постановления Правительства Российской Федерации от 26 апреля 2012 года № 404 "Об утверждении Правил ведения Федерального регистра лиц, больных гемофилией, </w:t>
      </w:r>
      <w:proofErr w:type="spellStart"/>
      <w:r w:rsidRPr="006E30F9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6E30F9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</w:t>
      </w:r>
      <w:proofErr w:type="gramStart"/>
      <w:r w:rsidRPr="006E30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E30F9">
        <w:rPr>
          <w:rFonts w:ascii="Times New Roman" w:hAnsi="Times New Roman" w:cs="Times New Roman"/>
          <w:sz w:val="28"/>
          <w:szCs w:val="28"/>
        </w:rPr>
        <w:t>или) тканей".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За счет бюджетных ассигнований областного бюджета Ленинградской области осуществляется обеспечение необходимыми лекарственными препаратами, медицинскими изделиями, специализированными продуктами лечебного питания: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0F9">
        <w:rPr>
          <w:rFonts w:ascii="Times New Roman" w:hAnsi="Times New Roman" w:cs="Times New Roman"/>
          <w:sz w:val="28"/>
          <w:szCs w:val="28"/>
        </w:rPr>
        <w:t xml:space="preserve">граждан, включенных в Федеральный регистр лиц, страдающих </w:t>
      </w:r>
      <w:proofErr w:type="spellStart"/>
      <w:r w:rsidRPr="006E30F9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6E30F9">
        <w:rPr>
          <w:rFonts w:ascii="Times New Roman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6E30F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6E30F9">
        <w:rPr>
          <w:rFonts w:ascii="Times New Roman" w:hAnsi="Times New Roman" w:cs="Times New Roman"/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инвалидности, в соответствии с </w:t>
      </w:r>
      <w:hyperlink r:id="rId9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 w:rsidRPr="006E30F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30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апреля 2012 года № 403 "О порядке ведения Федерального регистра лиц, страдающих </w:t>
      </w:r>
      <w:proofErr w:type="spellStart"/>
      <w:r w:rsidRPr="006E30F9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6E30F9">
        <w:rPr>
          <w:rFonts w:ascii="Times New Roman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6E30F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6E30F9">
        <w:rPr>
          <w:rFonts w:ascii="Times New Roman" w:hAnsi="Times New Roman" w:cs="Times New Roman"/>
          <w:sz w:val="28"/>
          <w:szCs w:val="28"/>
        </w:rPr>
        <w:t>) заболеваниями, приводящими к сокращению продолжительности жизни граждан или их инвалидности, и</w:t>
      </w:r>
      <w:proofErr w:type="gramEnd"/>
      <w:r w:rsidRPr="006E30F9">
        <w:rPr>
          <w:rFonts w:ascii="Times New Roman" w:hAnsi="Times New Roman" w:cs="Times New Roman"/>
          <w:sz w:val="28"/>
          <w:szCs w:val="28"/>
        </w:rPr>
        <w:t xml:space="preserve"> его регионального сегмента";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0F9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постоянно или преимущественно проживающих на территории Ленинградской области, иностранных граждан и лиц без гражданства, постоянно проживающих на территории Ленинградской области, в соответствии с </w:t>
      </w:r>
      <w:hyperlink w:anchor="P1210" w:tooltip="ПЕРЕЧЕНЬ">
        <w:r w:rsidRPr="006E30F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E30F9">
        <w:rPr>
          <w:rFonts w:ascii="Times New Roman" w:hAnsi="Times New Roman" w:cs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препараты, медицинские изделия, специализированные продукты лечебного питания отпускаются по рецептам врачей бесплатно за счет средств областного бюджета Ленинградской области (приложение 4 к Территориальной</w:t>
      </w:r>
      <w:proofErr w:type="gramEnd"/>
      <w:r w:rsidRPr="006E30F9">
        <w:rPr>
          <w:rFonts w:ascii="Times New Roman" w:hAnsi="Times New Roman" w:cs="Times New Roman"/>
          <w:sz w:val="28"/>
          <w:szCs w:val="28"/>
        </w:rPr>
        <w:t xml:space="preserve"> программе).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Рецепты на лекарственные препараты, медицинские изделия и специализированные продукты лечебного питания выписываются врачами (фельдшерами) медицинских организаций,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При обращении в соответствующую медицинскую организацию гражданин предъявляет: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(паспорт гражданина Российской Федерации или временное удостоверение личности, выданное на период его замены);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свидетельство о рождении (для детей, не достигших 14 лет);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документ, подтверждающий личность иностранного гражданина или лица без гражданства в Российской Федерации, в соответствии со </w:t>
      </w:r>
      <w:hyperlink r:id="rId10" w:tooltip="Федеральный закон от 25.07.2002 N 115-ФЗ (ред. от 10.07.2023) &quot;О правовом положении иностранных граждан в Российской Федерации&quot; {КонсультантПлюс}">
        <w:r w:rsidRPr="006E30F9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6E30F9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года № 115-ФЗ "О правовом положении иностранных граждан в Российской Федерации";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документ, подтверждающий факт проживания на территории Ленинградской области (данные органов регистрационного учета либо иные документы, подтверждающие факт проживания);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выписка из медицинской карты амбулаторного больного (форма № 027/у);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документы, подтверждающие, что ребенок является членом многодетной семьи в Ленинградской области (свидетельство многодетной семьи Ленинградской области, документы, подтверждающие наличие в семье детей (в случае если свидетельство многодетной семьи Ленинградской области отсутствует);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документ, содержащий сведения о лицах,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документ, содержащий сведения о лицах, подвергшихся политическим репрессиям и впоследствии реабилитированных, и лицах, пострадавших от политических репрессий.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В медицинской карте пациента, получающего медицинскую помощь в амбулаторных условиях, или истории развития ребенка отмечается срок, в течение которого гражданин имеет право на обеспечение необходимыми лекарственными препаратами, медицинскими изделиями, специализированными продуктами лечебного питания.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0F9">
        <w:rPr>
          <w:rFonts w:ascii="Times New Roman" w:hAnsi="Times New Roman" w:cs="Times New Roman"/>
          <w:sz w:val="28"/>
          <w:szCs w:val="28"/>
        </w:rPr>
        <w:t>При обращении гражданина в соответствующую медицинскую организацию врач (фельдшер) по результатам осмотра выписывает рецепт по установленной форме на лекарственные препараты, медицинские изделия, специализированные продукты лечебного питания, входящие в утвержденные перечни в соответствии с перечнем групп населения, категорий заболеваний и категорий льготы.</w:t>
      </w:r>
      <w:proofErr w:type="gramEnd"/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0F9"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соответствии со </w:t>
      </w:r>
      <w:hyperlink r:id="rId11" w:tooltip="Федеральный закон от 17.07.1999 N 178-ФЗ (ред. от 24.07.2023) &quot;О государственной социальной помощи&quot; {КонсультантПлюс}">
        <w:r w:rsidRPr="006E30F9">
          <w:rPr>
            <w:rFonts w:ascii="Times New Roman" w:hAnsi="Times New Roman" w:cs="Times New Roman"/>
            <w:sz w:val="28"/>
            <w:szCs w:val="28"/>
          </w:rPr>
          <w:t>статьей 6.1</w:t>
        </w:r>
      </w:hyperlink>
      <w:r w:rsidRPr="006E30F9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1999 года № 178-ФЗ "О государственной социальной помощи", осуществляется в соответствии с </w:t>
      </w:r>
      <w:hyperlink r:id="rId12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 w:rsidRPr="006E30F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E30F9">
        <w:rPr>
          <w:rFonts w:ascii="Times New Roman" w:hAnsi="Times New Roman" w:cs="Times New Roman"/>
          <w:sz w:val="28"/>
          <w:szCs w:val="28"/>
        </w:rPr>
        <w:t xml:space="preserve"> лекарственных препаратов для медицинского применения, утвержденным распоряжением Правительства Российской Федерации от 12 октября 2019 года № 2406-р.</w:t>
      </w:r>
      <w:proofErr w:type="gramEnd"/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Обеспечение граждан лекарственными препаратами, медицинскими изделиями, специализированными продуктами лечебного питания за счет средств областного бюджета Ленинградской области осуществляется в соответствии с </w:t>
      </w:r>
      <w:hyperlink w:anchor="P1352" w:tooltip="ПЕРЕЧЕНЬ">
        <w:r w:rsidRPr="006E30F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E30F9">
        <w:rPr>
          <w:rFonts w:ascii="Times New Roman" w:hAnsi="Times New Roman" w:cs="Times New Roman"/>
          <w:sz w:val="28"/>
          <w:szCs w:val="28"/>
        </w:rPr>
        <w:t xml:space="preserve"> согласно приложению 5 к Территориальной программе.</w:t>
      </w:r>
    </w:p>
    <w:p w:rsidR="00017482" w:rsidRPr="006E30F9" w:rsidRDefault="00017482" w:rsidP="00017482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0F9">
        <w:rPr>
          <w:rFonts w:ascii="Times New Roman" w:hAnsi="Times New Roman" w:cs="Times New Roman"/>
          <w:sz w:val="28"/>
          <w:szCs w:val="28"/>
        </w:rPr>
        <w:t xml:space="preserve">Оформление рецептурных бланков для обеспечения льготных категорий граждан, отпуск лекарственных препаратов, изделий медицинского назначения, специализированных продуктов лечебного питания из аптечных организаций осуществляются в порядке, утвержденном приказом Министерства здравоохранения и социального развития Российской Федерации от 12 февраля 2007 года </w:t>
      </w:r>
      <w:hyperlink r:id="rId13" w:tooltip="Приказ Минздравсоцразвития России от 12.02.2007 N 110 (ред. от 24.11.2021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">
        <w:r w:rsidRPr="006E30F9">
          <w:rPr>
            <w:rFonts w:ascii="Times New Roman" w:hAnsi="Times New Roman" w:cs="Times New Roman"/>
            <w:sz w:val="28"/>
            <w:szCs w:val="28"/>
          </w:rPr>
          <w:t>№ 110</w:t>
        </w:r>
      </w:hyperlink>
      <w:r w:rsidRPr="006E30F9">
        <w:rPr>
          <w:rFonts w:ascii="Times New Roman" w:hAnsi="Times New Roman" w:cs="Times New Roman"/>
          <w:sz w:val="28"/>
          <w:szCs w:val="28"/>
        </w:rPr>
        <w:t xml:space="preserve">, приказами Министерства здравоохранения Российской Федерации от 24 ноября 2021 года </w:t>
      </w:r>
      <w:hyperlink r:id="rId14" w:tooltip="Приказ Минздрава России от 24.11.2021 N 1093н (ред. от 24.11.2021) &quot;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">
        <w:r w:rsidRPr="006E30F9">
          <w:rPr>
            <w:rFonts w:ascii="Times New Roman" w:hAnsi="Times New Roman" w:cs="Times New Roman"/>
            <w:sz w:val="28"/>
            <w:szCs w:val="28"/>
          </w:rPr>
          <w:t>№ 1093н</w:t>
        </w:r>
      </w:hyperlink>
      <w:r w:rsidRPr="006E30F9">
        <w:rPr>
          <w:rFonts w:ascii="Times New Roman" w:hAnsi="Times New Roman" w:cs="Times New Roman"/>
          <w:sz w:val="28"/>
          <w:szCs w:val="28"/>
        </w:rPr>
        <w:t xml:space="preserve">, от 24 ноября 2021 года </w:t>
      </w:r>
      <w:hyperlink r:id="rId15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 w:rsidRPr="006E30F9">
          <w:rPr>
            <w:rFonts w:ascii="Times New Roman" w:hAnsi="Times New Roman" w:cs="Times New Roman"/>
            <w:sz w:val="28"/>
            <w:szCs w:val="28"/>
          </w:rPr>
          <w:t>№ 1094н</w:t>
        </w:r>
      </w:hyperlink>
      <w:r w:rsidRPr="006E3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6D69" w:rsidRDefault="00E82EA9"/>
    <w:sectPr w:rsidR="00BC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83"/>
    <w:rsid w:val="00017482"/>
    <w:rsid w:val="00916801"/>
    <w:rsid w:val="00C1429C"/>
    <w:rsid w:val="00E57583"/>
    <w:rsid w:val="00E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8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rsid w:val="000174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1">
    <w:name w:val="ConsPlusTitle1"/>
    <w:rsid w:val="000174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8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rsid w:val="000174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1">
    <w:name w:val="ConsPlusTitle1"/>
    <w:rsid w:val="000174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614C8A61073EF0F1995BB418AEAA077D0FDF0967FD3F2E044BD2776554A567BD5250E589309A6127974D6D0E0M5O" TargetMode="External"/><Relationship Id="rId13" Type="http://schemas.openxmlformats.org/officeDocument/2006/relationships/hyperlink" Target="consultantplus://offline/ref=100614C8A61073EF0F1995BB418AEAA072D8FFF29270D3F2E044BD2776554A567BD5250E589309A6127974D6D0E0M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0614C8A61073EF0F1995BB418AEAA072DDFFF59C7ED3F2E044BD2776554A5669D57D01599F43F657327BD7D5182838196A0D04E3M9O" TargetMode="External"/><Relationship Id="rId12" Type="http://schemas.openxmlformats.org/officeDocument/2006/relationships/hyperlink" Target="consultantplus://offline/ref=100614C8A61073EF0F1995BB418AEAA072DCF4F09C7AD3F2E044BD2776554A5669D57D055A9D1CF3422323DBD301373806760F0638E3M5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614C8A61073EF0F1995BB418AEAA072DDFFF59C7ED3F2E044BD2776554A5669D57D0151931CF3422323DBD301373806760F0638E3M5O" TargetMode="External"/><Relationship Id="rId11" Type="http://schemas.openxmlformats.org/officeDocument/2006/relationships/hyperlink" Target="consultantplus://offline/ref=100614C8A61073EF0F1995BB418AEAA072DDFFF59C7ED3F2E044BD2776554A5669D57D01599F43F657327BD7D5182838196A0D04E3M9O" TargetMode="External"/><Relationship Id="rId5" Type="http://schemas.openxmlformats.org/officeDocument/2006/relationships/hyperlink" Target="consultantplus://offline/ref=100614C8A61073EF0F1995BB418AEAA072DBF8FB937BD3F2E044BD2776554A567BD5250E589309A6127974D6D0E0M5O" TargetMode="External"/><Relationship Id="rId15" Type="http://schemas.openxmlformats.org/officeDocument/2006/relationships/hyperlink" Target="consultantplus://offline/ref=100614C8A61073EF0F1995BB418AEAA072D8FCFB937DD3F2E044BD2776554A567BD5250E589309A6127974D6D0E0M5O" TargetMode="External"/><Relationship Id="rId10" Type="http://schemas.openxmlformats.org/officeDocument/2006/relationships/hyperlink" Target="consultantplus://offline/ref=100614C8A61073EF0F1995BB418AEAA072DDFCFB9578D3F2E044BD2776554A5669D57D02599417AE126C22879653243800760C07243418D6EAM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614C8A61073EF0F1995BB418AEAA075DDF9F5937ED3F2E044BD2776554A567BD5250E589309A6127974D6D0E0M5O" TargetMode="External"/><Relationship Id="rId14" Type="http://schemas.openxmlformats.org/officeDocument/2006/relationships/hyperlink" Target="consultantplus://offline/ref=100614C8A61073EF0F1995BB418AEAA072DAF5F1977DD3F2E044BD2776554A567BD5250E589309A6127974D6D0E0M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2958</Words>
  <Characters>16861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    I. Лекарственные препараты, включенные в перечень жизненно</vt:lpstr>
      <vt:lpstr>        II. Лекарственные препараты, не включенные в перечень</vt:lpstr>
      <vt:lpstr>        III. Специализированные продукты лечебного питания</vt:lpstr>
      <vt:lpstr>        IV. Изделия медицинского назначения</vt:lpstr>
      <vt:lpstr>        Лекарственное обеспечение при оказании первичной</vt:lpstr>
    </vt:vector>
  </TitlesOfParts>
  <Company>Microsoft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Сорокина</dc:creator>
  <cp:keywords/>
  <dc:description/>
  <cp:lastModifiedBy>Светлана Анатольевна Сорокина</cp:lastModifiedBy>
  <cp:revision>2</cp:revision>
  <dcterms:created xsi:type="dcterms:W3CDTF">2024-02-16T06:56:00Z</dcterms:created>
  <dcterms:modified xsi:type="dcterms:W3CDTF">2024-02-16T07:16:00Z</dcterms:modified>
</cp:coreProperties>
</file>