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257B1D" w:rsidRDefault="00257B1D" w:rsidP="00257B1D">
      <w:pPr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  <w:t>Коррупция (понятие, ответственность, противодействие коррупции)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Понятие коррупции.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Формы  коррупции.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-дисциплинарных правонарушений, т.е.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Более подробно рассмотрим уголовно-наказуемые коррупционные деяния.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К коррупционным деяниям относятся следующие преступления: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-з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лоупотребление должностными полномочиями (статья 285 Уголовного кодекса Российской Федерации</w:t>
      </w:r>
      <w:hyperlink r:id="rId5" w:anchor="_ftn1" w:tooltip="" w:history="1">
        <w:r w:rsidRPr="00257B1D">
          <w:rPr>
            <w:rFonts w:ascii="PT Sans" w:eastAsia="Times New Roman" w:hAnsi="PT Sans" w:cs="Times New Roman"/>
            <w:color w:val="3579C0"/>
            <w:sz w:val="24"/>
            <w:szCs w:val="24"/>
            <w:vertAlign w:val="superscript"/>
            <w:lang w:eastAsia="ru-RU"/>
          </w:rPr>
          <w:t>[1]</w:t>
        </w:r>
      </w:hyperlink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),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-превышение должностных полномочий (статья 286 УК РФ);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-получение взятки (статья 290 УК РФ)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-дача взятки (статья 291 УК РФ);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-злоупотребление полномочиями (статья 201 УК РФ);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Взяткой признается передача и получение материальных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ценностей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Злоупотребление полномочиями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Злоупотребление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Коммерческий подкуп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Также, как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за взяточничество, за коммерческий подкуп Уголовный кодексом Российской Федерации предусматривается уголовная ответственность, лица подкупаемого, так и лица подкупающего.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Ответственность за коррупцию.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Рассмотрим вопросы уголовной ответственности за совершение коррупционных правонарушений.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15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лет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как за получение взятки так и за дачу взятки.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То есть перед законом отвечает не только лицо, которое получает взятку, но и то лицо, которое взятку дает, или от чьего имени взятка передается взяткополучателю.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</w:t>
      </w: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деяния, как коммерческий подкуп (статья 204 УК РФ) и провокация взятки либо коммерческого подкупа (статья 304 УК РФ).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Дача взятки при отсутствии обстоятельств, отягчающих ответственность, 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лет или без такового.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Необходимо отметить, что лицо, давшее взятку, освобождается от уголовной ответственности, если имело место: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вымогательство взятки со стороны должностного лица;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б) если лицо добровольно сообщило органу, имеющему право возбудить уголовное дело, о даче взятки;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в) если лицо активно способствовало раскрытию и (или) расследованию преступления;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Необходимо знать, что получение взятки - одно из самых общественно опасных должностных преступлений, особенно если оно совершено в особо крупном размере, группой лиц по предварительному сговору или организованной группой, сопряжено с вымогательством взятки.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Обстоятельствами, отягчающими уголовную ответственность за получение взятки, являются: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получение должностным лицом взятки за незаконные действия (бездействие);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 получение взятки группой лиц по предварительному сговору или организованной группой;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 вымогательство взятки;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 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 получение 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ч. 1 ст. 290 УК РФ на срок до трех лет, по ч. 6 ст. 290 УК РФ на срок до 15 лет).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Противодействие коррупции.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</w:t>
      </w: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-проведение единой государственной политики в области противодействия коррупции;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-совершенствование системы и структуры государственных органов, создание механизмов общественного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их деятельностью;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-обеспечение независимости средств массовой информации;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-неукоснительное соблюдение принципов независимости судей и невмешательства в судебную деятельность;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</w:t>
      </w:r>
      <w:proofErr w:type="spell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таюке</w:t>
      </w:r>
      <w:proofErr w:type="spell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порядка передачи прав на использование такого имущества и его отчуждения;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-повышение уровня оплаты труда и социальной защищенности государственных и муниципальных служащих;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-усиление </w:t>
      </w:r>
      <w:proofErr w:type="gramStart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257B1D" w:rsidRPr="00257B1D" w:rsidRDefault="00257B1D" w:rsidP="00257B1D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57B1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:rsidR="00BE774F" w:rsidRDefault="00BE774F"/>
    <w:sectPr w:rsidR="00BE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D"/>
    <w:rsid w:val="00257B1D"/>
    <w:rsid w:val="00B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B1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B1D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7B1D"/>
    <w:rPr>
      <w:strike w:val="0"/>
      <w:dstrike w:val="0"/>
      <w:color w:val="3579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57B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257B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B1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B1D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7B1D"/>
    <w:rPr>
      <w:strike w:val="0"/>
      <w:dstrike w:val="0"/>
      <w:color w:val="3579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57B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257B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9.&#1084;&#1074;&#1076;.&#1088;&#1092;/document/10960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2019-04-15T13:26:00Z</dcterms:created>
  <dcterms:modified xsi:type="dcterms:W3CDTF">2019-04-15T13:26:00Z</dcterms:modified>
</cp:coreProperties>
</file>