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1C" w:rsidRDefault="0028531C">
      <w:pPr>
        <w:pStyle w:val="ConsPlusNormal"/>
        <w:jc w:val="right"/>
        <w:outlineLvl w:val="0"/>
      </w:pPr>
      <w:r>
        <w:t>Приложение N 8</w:t>
      </w:r>
    </w:p>
    <w:p w:rsidR="0028531C" w:rsidRDefault="0028531C">
      <w:pPr>
        <w:pStyle w:val="ConsPlusNormal"/>
        <w:jc w:val="right"/>
      </w:pPr>
      <w:r>
        <w:t>к государственной программе</w:t>
      </w:r>
    </w:p>
    <w:p w:rsidR="0028531C" w:rsidRDefault="0028531C">
      <w:pPr>
        <w:pStyle w:val="ConsPlusNormal"/>
        <w:jc w:val="right"/>
      </w:pPr>
      <w:r>
        <w:t>Российской Федерации</w:t>
      </w:r>
    </w:p>
    <w:p w:rsidR="0028531C" w:rsidRDefault="0028531C">
      <w:pPr>
        <w:pStyle w:val="ConsPlusNormal"/>
        <w:jc w:val="right"/>
      </w:pPr>
      <w:r>
        <w:t>"Развитие здравоохранения"</w:t>
      </w:r>
    </w:p>
    <w:p w:rsidR="0028531C" w:rsidRDefault="0028531C">
      <w:pPr>
        <w:pStyle w:val="ConsPlusNormal"/>
        <w:ind w:firstLine="540"/>
        <w:jc w:val="both"/>
      </w:pPr>
    </w:p>
    <w:p w:rsidR="0028531C" w:rsidRDefault="0028531C">
      <w:pPr>
        <w:pStyle w:val="ConsPlusTitle"/>
        <w:jc w:val="center"/>
      </w:pPr>
      <w:r>
        <w:t>ПРАВИЛА</w:t>
      </w:r>
    </w:p>
    <w:p w:rsidR="0028531C" w:rsidRDefault="0028531C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28531C" w:rsidRDefault="0028531C">
      <w:pPr>
        <w:pStyle w:val="ConsPlusTitle"/>
        <w:jc w:val="center"/>
      </w:pPr>
      <w:r>
        <w:t>БЮДЖЕТА БЮДЖЕТАМ СУБЪЕКТОВ РОССИЙСКОЙ ФЕДЕРАЦИИ</w:t>
      </w:r>
    </w:p>
    <w:p w:rsidR="0028531C" w:rsidRDefault="0028531C">
      <w:pPr>
        <w:pStyle w:val="ConsPlusTitle"/>
        <w:jc w:val="center"/>
      </w:pPr>
      <w:r>
        <w:t xml:space="preserve">НА ЕДИНОВРЕМЕННЫЕ КОМПЕНСАЦИОННЫЕ ВЫПЛАТЫ </w:t>
      </w:r>
      <w:proofErr w:type="gramStart"/>
      <w:r>
        <w:t>МЕДИЦИНСКИМ</w:t>
      </w:r>
      <w:proofErr w:type="gramEnd"/>
    </w:p>
    <w:p w:rsidR="0028531C" w:rsidRDefault="0028531C">
      <w:pPr>
        <w:pStyle w:val="ConsPlusTitle"/>
        <w:jc w:val="center"/>
      </w:pPr>
      <w:r>
        <w:t>РАБОТНИКАМ (ВРАЧАМ, ФЕЛЬДШЕРАМ) В ВОЗРАСТЕ ДО 50 ЛЕТ,</w:t>
      </w:r>
    </w:p>
    <w:p w:rsidR="0028531C" w:rsidRDefault="0028531C">
      <w:pPr>
        <w:pStyle w:val="ConsPlusTitle"/>
        <w:jc w:val="center"/>
      </w:pPr>
      <w:proofErr w:type="gramStart"/>
      <w:r>
        <w:t>ПРИБЫВШИМ</w:t>
      </w:r>
      <w:proofErr w:type="gramEnd"/>
      <w:r>
        <w:t xml:space="preserve"> (ПЕРЕЕХАВШИМ) НА РАБОТУ В СЕЛЬСКИЕ НАСЕЛЕННЫЕ</w:t>
      </w:r>
    </w:p>
    <w:p w:rsidR="0028531C" w:rsidRDefault="0028531C">
      <w:pPr>
        <w:pStyle w:val="ConsPlusTitle"/>
        <w:jc w:val="center"/>
      </w:pPr>
      <w:r>
        <w:t xml:space="preserve">ПУНКТЫ, ЛИБО РАБОЧИЕ ПОСЕЛКИ, ЛИБО ПОСЕЛКИ </w:t>
      </w:r>
      <w:proofErr w:type="gramStart"/>
      <w:r>
        <w:t>ГОРОДСКОГО</w:t>
      </w:r>
      <w:proofErr w:type="gramEnd"/>
    </w:p>
    <w:p w:rsidR="0028531C" w:rsidRDefault="0028531C">
      <w:pPr>
        <w:pStyle w:val="ConsPlusTitle"/>
        <w:jc w:val="center"/>
      </w:pPr>
      <w:r>
        <w:t>ТИПА, ЛИБО ГОРОДА С НАСЕЛЕНИЕМ ДО 50 ТЫСЯЧ ЧЕЛОВЕК</w:t>
      </w:r>
    </w:p>
    <w:p w:rsidR="0028531C" w:rsidRDefault="002853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5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531C" w:rsidRDefault="00285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531C" w:rsidRDefault="00285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24.01.2019 N 34)</w:t>
            </w:r>
          </w:p>
        </w:tc>
      </w:tr>
    </w:tbl>
    <w:p w:rsidR="0028531C" w:rsidRDefault="0028531C">
      <w:pPr>
        <w:pStyle w:val="ConsPlusNormal"/>
        <w:ind w:firstLine="540"/>
        <w:jc w:val="both"/>
      </w:pPr>
    </w:p>
    <w:p w:rsidR="0028531C" w:rsidRDefault="0028531C">
      <w:pPr>
        <w:pStyle w:val="ConsPlusNormal"/>
        <w:ind w:firstLine="540"/>
        <w:jc w:val="both"/>
      </w:pPr>
      <w:bookmarkStart w:id="0" w:name="P16"/>
      <w:bookmarkEnd w:id="0"/>
      <w:r>
        <w:t xml:space="preserve">1. </w:t>
      </w:r>
      <w:proofErr w:type="gramStart"/>
      <w:r>
        <w:t>Настоящие Правила устанавливают цели,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</w:t>
      </w:r>
      <w:proofErr w:type="gramEnd"/>
      <w:r>
        <w:t xml:space="preserve"> 50 тыс. человек (далее - субсидия).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2. Субсидия предоставляется в пределах лимитов бюджетных обязательств, доведенных до Министерства здравоохранения Российской Федерации как получателя средств федерального бюджета на предоставление субсидий, на цели, указанные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8531C" w:rsidRDefault="0028531C">
      <w:pPr>
        <w:pStyle w:val="ConsPlusNormal"/>
        <w:spacing w:before="220"/>
        <w:ind w:firstLine="540"/>
        <w:jc w:val="both"/>
      </w:pPr>
      <w:bookmarkStart w:id="1" w:name="P18"/>
      <w:bookmarkEnd w:id="1"/>
      <w:r>
        <w:t>3. Критериями отбора субъектов Российской Федерации для предоставления субсидий являются: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а) наличие утвержденного уполномоченным органом исполнительной власти субъекта Российской Федерации и согласованного с Министерством </w:t>
      </w:r>
      <w:proofErr w:type="gramStart"/>
      <w:r>
        <w:t>здравоохранения Российской Федерации перечня вакантных должностей медицинских работников</w:t>
      </w:r>
      <w:proofErr w:type="gramEnd"/>
      <w:r>
        <w:t xml:space="preserve">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(программного реестра должностей);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б) наличие </w:t>
      </w:r>
      <w:proofErr w:type="gramStart"/>
      <w:r>
        <w:t>заявки высшего исполнительного органа государственной власти субъекта Российской Федерации</w:t>
      </w:r>
      <w:proofErr w:type="gramEnd"/>
      <w:r>
        <w:t xml:space="preserve"> на участие в мероприятии, содержащей сведения о планируемой численности участников мероприятия (врачей, фельдшеров).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4. Субсидия предоставляется на основании соглашения,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Федерации,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6" w:history="1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- соглашение).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5. Условиями предоставления субсидии являются: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 xml:space="preserve">а)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(врачам, </w:t>
      </w:r>
      <w:r>
        <w:lastRenderedPageBreak/>
        <w:t>фельдшерам) в возрасте до 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</w:t>
      </w:r>
      <w:proofErr w:type="gramEnd"/>
      <w:r>
        <w:t xml:space="preserve"> </w:t>
      </w:r>
      <w:proofErr w:type="gramStart"/>
      <w:r>
        <w:t xml:space="preserve">городского типа, либо города с населением до 50 тыс. человек и заключившим трудовой договор с медицинской организацией, подведомственной органу исполнительной власти субъекта Российской Федерации или органу местного самоуправления, на условиях полного рабочего дня с продолжительностью рабочего времени, установленной в соответствии со </w:t>
      </w:r>
      <w:hyperlink r:id="rId7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с выполнением трудовой функции на должности, включенной в программный реестр должностей, предусмотренный </w:t>
      </w:r>
      <w:hyperlink w:anchor="P1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настоящих Правил, в размере 1 млн. рублей для врачей и 0,5 млн. рублей для фельдшеров;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б) наличие в бюджете субъекта Российской Федерации бюджетных ассигнований, предусмотренных на финансовое обеспечение расходных обязательств субъекта Российской Федерации, в целях софинансирования которых предоставляется субсидия, в объеме, необходимом для исполнения указанных обязательств, включающем размер планируемой к предоставлению из федерального бюджета субсидии, и наличие порядка определения объемов указанных ассигнований;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 xml:space="preserve">в) заключение соглашения в соответствии с </w:t>
      </w:r>
      <w:hyperlink r:id="rId8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  <w:proofErr w:type="gramEnd"/>
    </w:p>
    <w:p w:rsidR="0028531C" w:rsidRDefault="0028531C">
      <w:pPr>
        <w:pStyle w:val="ConsPlusNormal"/>
        <w:spacing w:before="220"/>
        <w:ind w:firstLine="540"/>
        <w:jc w:val="both"/>
      </w:pPr>
      <w:r>
        <w:t>6. Единовременная компенсационная выплата предоставляется медицинскому работнику однократно уполномоченным органом исполнительной власти субъекта Российской Федерации.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Уполномоченный орган исполнительной власти субъекта Российской Федерации вправе принимать решение о предоставлении медицинскому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7. Медицинский работник, заключивший с медицинской организацией договор о предоставлении единовременной компенсационной выплаты (далее - договор), принимает обязательства: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а)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9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10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 xml:space="preserve">б) возвратить в бюджет субъекта Российской Федерации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11" w:history="1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12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3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</w:t>
      </w:r>
      <w:proofErr w:type="gramEnd"/>
      <w:r>
        <w:t xml:space="preserve"> поступления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 xml:space="preserve">в) возвратить в бюджет субъекта Российской Федерации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</w:t>
      </w:r>
      <w:r>
        <w:lastRenderedPageBreak/>
        <w:t xml:space="preserve">соответствии с </w:t>
      </w:r>
      <w:hyperlink r:id="rId14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8. Размер субсидии бюджету i-го субъекта Российской Федерации, принимающего участие в текущем финансовом году в реализации мероприятий,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настоящих Правил, определяется по формуле:</w:t>
      </w:r>
    </w:p>
    <w:p w:rsidR="0028531C" w:rsidRDefault="0028531C">
      <w:pPr>
        <w:pStyle w:val="ConsPlusNormal"/>
        <w:ind w:firstLine="540"/>
        <w:jc w:val="both"/>
      </w:pPr>
    </w:p>
    <w:p w:rsidR="0028531C" w:rsidRDefault="0028531C">
      <w:pPr>
        <w:pStyle w:val="ConsPlusNormal"/>
        <w:jc w:val="center"/>
      </w:pPr>
      <w:r>
        <w:t>S</w:t>
      </w:r>
      <w:r>
        <w:rPr>
          <w:vertAlign w:val="subscript"/>
        </w:rPr>
        <w:t>i</w:t>
      </w:r>
      <w:r>
        <w:t xml:space="preserve"> = (</w:t>
      </w:r>
      <w:proofErr w:type="gramStart"/>
      <w:r>
        <w:t>V</w:t>
      </w:r>
      <w:proofErr w:type="gramEnd"/>
      <w:r>
        <w:rPr>
          <w:vertAlign w:val="subscript"/>
        </w:rPr>
        <w:t>планi</w:t>
      </w:r>
      <w:r>
        <w:t xml:space="preserve"> x 1 + F</w:t>
      </w:r>
      <w:r>
        <w:rPr>
          <w:vertAlign w:val="subscript"/>
        </w:rPr>
        <w:t>планi</w:t>
      </w:r>
      <w:r>
        <w:t xml:space="preserve"> x 0,5) x Y</w:t>
      </w:r>
      <w:r>
        <w:rPr>
          <w:vertAlign w:val="subscript"/>
        </w:rPr>
        <w:t>i</w:t>
      </w:r>
      <w:r>
        <w:t>,</w:t>
      </w:r>
    </w:p>
    <w:p w:rsidR="0028531C" w:rsidRDefault="0028531C">
      <w:pPr>
        <w:pStyle w:val="ConsPlusNormal"/>
        <w:ind w:firstLine="540"/>
        <w:jc w:val="both"/>
      </w:pPr>
    </w:p>
    <w:p w:rsidR="0028531C" w:rsidRDefault="0028531C">
      <w:pPr>
        <w:pStyle w:val="ConsPlusNormal"/>
        <w:ind w:firstLine="540"/>
        <w:jc w:val="both"/>
      </w:pPr>
      <w:r>
        <w:t>где: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 бюджету субъекта Российской Федерации, принимающего участие в текущем финансовом году в реализации мероприятия;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планi</w:t>
      </w:r>
      <w:r>
        <w:t xml:space="preserve"> - количество врачей,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1 - размер единовременной компенсационной выплаты, предоставляемой врачу, равный 1 млн. рублей;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>F</w:t>
      </w:r>
      <w:proofErr w:type="gramEnd"/>
      <w:r>
        <w:rPr>
          <w:vertAlign w:val="subscript"/>
        </w:rPr>
        <w:t>планi</w:t>
      </w:r>
      <w:r>
        <w:t xml:space="preserve"> - количество фельдшеров, которым планируется предоставить единовременные компенсационные выплаты, в i-м субъекте Российской Федерации в соответствующем финансовом году;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0,5 - размер единовременной компенсационной выплаты, предоставляемой фельдшеру, равный 0,5 млн. рублей;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коэффициент, отражающий уровень софинансирования расходного обязательства i-го субъекта Российской Федерации из федерального бюджета (Y</w:t>
      </w:r>
      <w:r>
        <w:rPr>
          <w:vertAlign w:val="subscript"/>
        </w:rPr>
        <w:t>i</w:t>
      </w:r>
      <w:r>
        <w:t xml:space="preserve"> = 0,6 при L</w:t>
      </w:r>
      <w:r>
        <w:rPr>
          <w:vertAlign w:val="subscript"/>
        </w:rPr>
        <w:t>i</w:t>
      </w:r>
      <w:r>
        <w:t xml:space="preserve"> &gt; 60 процентов, Y</w:t>
      </w:r>
      <w:r>
        <w:rPr>
          <w:vertAlign w:val="subscript"/>
        </w:rPr>
        <w:t>i</w:t>
      </w:r>
      <w:r>
        <w:t xml:space="preserve"> = L</w:t>
      </w:r>
      <w:r>
        <w:rPr>
          <w:vertAlign w:val="subscript"/>
        </w:rPr>
        <w:t>i</w:t>
      </w:r>
      <w:r>
        <w:t xml:space="preserve"> / 100 при L</w:t>
      </w:r>
      <w:r>
        <w:rPr>
          <w:vertAlign w:val="subscript"/>
        </w:rPr>
        <w:t>i</w:t>
      </w:r>
      <w:r>
        <w:t xml:space="preserve"> &lt; 60 процентов);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</w:t>
      </w:r>
      <w:hyperlink r:id="rId15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в целях софинансирования которых предоставляется субсидия, утверждается законом субъекта Российской Федерации о</w:t>
      </w:r>
      <w:proofErr w:type="gramEnd"/>
      <w:r>
        <w:t xml:space="preserve"> </w:t>
      </w:r>
      <w:proofErr w:type="gramStart"/>
      <w:r>
        <w:t>бюджете субъекта Российской Федерации (определяется сводной бюджетной росписью бюджета субъекта Российской Федерации) исходя из необходимости достижения установленных в соглашении значений показателей результативности использования субсидии.</w:t>
      </w:r>
      <w:proofErr w:type="gramEnd"/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 xml:space="preserve">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Федерации, связанных с реализацией мероприятий,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настоящих Правил, с учетом предельного уровня софинансирования расходного обязательства субъекта Российской Федерации из федерального бюджета, определенного в соответствии с </w:t>
      </w:r>
      <w:hyperlink r:id="rId16" w:history="1">
        <w:r>
          <w:rPr>
            <w:color w:val="0000FF"/>
          </w:rPr>
          <w:t>пунктом 13</w:t>
        </w:r>
      </w:hyperlink>
      <w:r>
        <w:t xml:space="preserve"> Правил формирования, предоставления и распределения субсидий.</w:t>
      </w:r>
      <w:proofErr w:type="gramEnd"/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Распределение субсидий между бюджетами субъектов Российской Федерации устанавливается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</w:t>
      </w:r>
      <w:r>
        <w:lastRenderedPageBreak/>
        <w:t>финансовый год и плановый период.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10. Перечисление субсидии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Федерации.</w:t>
      </w:r>
    </w:p>
    <w:p w:rsidR="0028531C" w:rsidRDefault="0028531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11. Для оценки результативности использования субсидии используется показатель - 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(процентов), рассчитываемый по формуле:</w:t>
      </w:r>
    </w:p>
    <w:p w:rsidR="0028531C" w:rsidRDefault="0028531C">
      <w:pPr>
        <w:pStyle w:val="ConsPlusNormal"/>
        <w:ind w:firstLine="540"/>
        <w:jc w:val="both"/>
      </w:pPr>
    </w:p>
    <w:p w:rsidR="0028531C" w:rsidRDefault="0028531C">
      <w:pPr>
        <w:pStyle w:val="ConsPlusNormal"/>
        <w:jc w:val="center"/>
      </w:pPr>
      <w:r w:rsidRPr="00DE2FB1">
        <w:rPr>
          <w:position w:val="-28"/>
        </w:rPr>
        <w:pict>
          <v:shape id="_x0000_i1025" style="width:147pt;height:39.75pt" coordsize="" o:spt="100" adj="0,,0" path="" filled="f" stroked="f">
            <v:stroke joinstyle="miter"/>
            <v:imagedata r:id="rId18" o:title="base_1_320359_32776"/>
            <v:formulas/>
            <v:path o:connecttype="segments"/>
          </v:shape>
        </w:pict>
      </w:r>
    </w:p>
    <w:p w:rsidR="0028531C" w:rsidRDefault="0028531C">
      <w:pPr>
        <w:pStyle w:val="ConsPlusNormal"/>
        <w:ind w:firstLine="540"/>
        <w:jc w:val="both"/>
      </w:pPr>
    </w:p>
    <w:p w:rsidR="0028531C" w:rsidRDefault="0028531C">
      <w:pPr>
        <w:pStyle w:val="ConsPlusNormal"/>
        <w:ind w:firstLine="540"/>
        <w:jc w:val="both"/>
      </w:pPr>
      <w:r>
        <w:t>где: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показатель результативности использования субсидии на реализацию мероприятий,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настоящих Правил, в i-м субъекте Российской Федерации (процентов);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планi</w:t>
      </w:r>
      <w:r>
        <w:t xml:space="preserve"> - количество врачей, которым планируется предоставить единовременные компенсационные выплаты, в i-м субъекте Российской Федерации в соответствующем финансовом году (человек);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>F</w:t>
      </w:r>
      <w:proofErr w:type="gramEnd"/>
      <w:r>
        <w:rPr>
          <w:vertAlign w:val="subscript"/>
        </w:rPr>
        <w:t>планi</w:t>
      </w:r>
      <w:r>
        <w:t xml:space="preserve"> - количество фельдшеров, которым планируется предоставить единовременные компенсационные выплаты, в i-м субъекте Российской Федерации в соответствующем финансовом году (человек);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фактi</w:t>
      </w:r>
      <w:r>
        <w:t xml:space="preserve"> - количество врачей, которым фактически предоставлены единовременные компенсационные выплаты, в i-м субъекте Российской Федерации в соответствующем финансовом году (человек);</w:t>
      </w:r>
    </w:p>
    <w:p w:rsidR="0028531C" w:rsidRDefault="0028531C">
      <w:pPr>
        <w:pStyle w:val="ConsPlusNormal"/>
        <w:spacing w:before="220"/>
        <w:ind w:firstLine="540"/>
        <w:jc w:val="both"/>
      </w:pPr>
      <w:proofErr w:type="gramStart"/>
      <w:r>
        <w:t>F</w:t>
      </w:r>
      <w:proofErr w:type="gramEnd"/>
      <w:r>
        <w:rPr>
          <w:vertAlign w:val="subscript"/>
        </w:rPr>
        <w:t>фактi</w:t>
      </w:r>
      <w:r>
        <w:t xml:space="preserve"> - количество фельдшеров, которым фактически предоставлены единовременные компенсационные выплаты, в i-м субъекте Российской Федерации в соответствующем финансовом году (человек).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12. Оценка эффективности использования субсидии осуществляется Министерством здравоохранения Российской Федерации на основании </w:t>
      </w:r>
      <w:proofErr w:type="gramStart"/>
      <w:r>
        <w:t>сравнения значения показателя результативности использования</w:t>
      </w:r>
      <w:proofErr w:type="gramEnd"/>
      <w:r>
        <w:t xml:space="preserve"> субсидии, установленного в соглашении, и фактически достигнутого по итогам отчетного года значения показателя результативности использования субсидии, предусмотренного </w:t>
      </w:r>
      <w:hyperlink w:anchor="P48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13. Порядок и условия возврата средств из бюджетов субъектов Российской Федерации в федеральный бюджет в случае нарушения обязательств, предусмотренных соглашением, и их последующего использования, а также основание для освобождения субъектов Российской Федерации от применения мер финансовой ответственности установлены </w:t>
      </w:r>
      <w:hyperlink r:id="rId19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20" w:history="1">
        <w:r>
          <w:rPr>
            <w:color w:val="0000FF"/>
          </w:rPr>
          <w:t>18</w:t>
        </w:r>
      </w:hyperlink>
      <w:r>
        <w:t xml:space="preserve"> и </w:t>
      </w:r>
      <w:hyperlink r:id="rId21" w:history="1">
        <w:r>
          <w:rPr>
            <w:color w:val="0000FF"/>
          </w:rPr>
          <w:t>20</w:t>
        </w:r>
      </w:hyperlink>
      <w:r>
        <w:t xml:space="preserve"> Правил формирования, предоставления и ра</w:t>
      </w:r>
      <w:bookmarkStart w:id="3" w:name="_GoBack"/>
      <w:bookmarkEnd w:id="3"/>
      <w:r>
        <w:t>спределения субсидий.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Контроль за</w:t>
      </w:r>
      <w:proofErr w:type="gramEnd"/>
      <w:r>
        <w:t xml:space="preserve"> реализацией субъектами Российской Федерации мероприятий, предусмотренных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настоящих Правил, осуществляется Федеральной службой по надзору в сфере здравоохранения.</w:t>
      </w:r>
    </w:p>
    <w:p w:rsidR="0028531C" w:rsidRDefault="0028531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субсидий осуществляется Министерством здравоохранения Российской Федерации и </w:t>
      </w:r>
      <w:r>
        <w:lastRenderedPageBreak/>
        <w:t>федеральным органом исполнительной власти, осуществляющим функции по контролю и надзору в финансово-бюджетной сфере.</w:t>
      </w:r>
    </w:p>
    <w:p w:rsidR="0028531C" w:rsidRDefault="0028531C">
      <w:pPr>
        <w:pStyle w:val="ConsPlusNormal"/>
        <w:ind w:firstLine="540"/>
        <w:jc w:val="both"/>
      </w:pPr>
    </w:p>
    <w:p w:rsidR="0028531C" w:rsidRDefault="0028531C">
      <w:pPr>
        <w:pStyle w:val="ConsPlusNormal"/>
      </w:pPr>
      <w:hyperlink r:id="rId22" w:history="1">
        <w:r>
          <w:rPr>
            <w:i/>
            <w:color w:val="0000FF"/>
          </w:rPr>
          <w:br/>
          <w:t>Постановление Правительства РФ от 26.12.2017 N 1640 (ред. от 14.03.2019) "Об утверждении государственной программы Российской Федерации "Развитие здравоохранения" {КонсультантПлюс}</w:t>
        </w:r>
      </w:hyperlink>
      <w:r>
        <w:br/>
      </w:r>
    </w:p>
    <w:p w:rsidR="00C61717" w:rsidRDefault="00C61717"/>
    <w:sectPr w:rsidR="00C61717" w:rsidSect="000A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1C"/>
    <w:rsid w:val="00101810"/>
    <w:rsid w:val="001E38BD"/>
    <w:rsid w:val="00201A06"/>
    <w:rsid w:val="002614A9"/>
    <w:rsid w:val="00266A6B"/>
    <w:rsid w:val="002713FE"/>
    <w:rsid w:val="002847DA"/>
    <w:rsid w:val="0028531C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10991F9B6FEA11DEBB8FF25CD163260D81D2E209A1A3E00A34E09FF84491888EBF2FCB331BD004332CAC33C33F8456DCA39C525A14F5CD9XCI" TargetMode="External"/><Relationship Id="rId13" Type="http://schemas.openxmlformats.org/officeDocument/2006/relationships/hyperlink" Target="consultantplus://offline/ref=5B210991F9B6FEA11DEBB8FF25CD163260D8112527931A3E00A34E09FF84491888EBF2FCB331BB064232CAC33C33F8456DCA39C525A14F5CD9XCI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210991F9B6FEA11DEBB8FF25CD163260D81D2E209A1A3E00A34E09FF84491888EBF2FCBB38B650167DCB9F7A61EB4769CA3BC63ADAXAI" TargetMode="External"/><Relationship Id="rId7" Type="http://schemas.openxmlformats.org/officeDocument/2006/relationships/hyperlink" Target="consultantplus://offline/ref=5B210991F9B6FEA11DEBB8FF25CD163260D8112527931A3E00A34E09FF84491888EBF2FCB330B4074132CAC33C33F8456DCA39C525A14F5CD9XCI" TargetMode="External"/><Relationship Id="rId12" Type="http://schemas.openxmlformats.org/officeDocument/2006/relationships/hyperlink" Target="consultantplus://offline/ref=5B210991F9B6FEA11DEBB8FF25CD163260D8112527931A3E00A34E09FF84491888EBF2F8B237B650167DCB9F7A61EB4769CA3BC63ADAXAI" TargetMode="External"/><Relationship Id="rId17" Type="http://schemas.openxmlformats.org/officeDocument/2006/relationships/hyperlink" Target="consultantplus://offline/ref=5B210991F9B6FEA11DEBB8FF25CD16326ADA162A2190473408FA420BF88B161D8FFAF2FFB42FBD07593B9E93D7X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210991F9B6FEA11DEBB8FF25CD163260D81D2E209A1A3E00A34E09FF84491888EBF2FCB431B650167DCB9F7A61EB4769CA3BC63ADAXAI" TargetMode="External"/><Relationship Id="rId20" Type="http://schemas.openxmlformats.org/officeDocument/2006/relationships/hyperlink" Target="consultantplus://offline/ref=5B210991F9B6FEA11DEBB8FF25CD163260D81D2E209A1A3E00A34E09FF84491888EBF2FCBB33B650167DCB9F7A61EB4769CA3BC63ADAX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10991F9B6FEA11DEBB8FF25CD163260D8132D279E1A3E00A34E09FF84491888EBF2FCB331BD054632CAC33C33F8456DCA39C525A14F5CD9XCI" TargetMode="External"/><Relationship Id="rId11" Type="http://schemas.openxmlformats.org/officeDocument/2006/relationships/hyperlink" Target="consultantplus://offline/ref=5B210991F9B6FEA11DEBB8FF25CD163260D8112527931A3E00A34E09FF84491888EBF2F9BB35B650167DCB9F7A61EB4769CA3BC63ADAXA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B210991F9B6FEA11DEBB8FF25CD163260D8132A209F1A3E00A34E09FF84491888EBF2FCB331BF074732CAC33C33F8456DCA39C525A14F5CD9XCI" TargetMode="External"/><Relationship Id="rId15" Type="http://schemas.openxmlformats.org/officeDocument/2006/relationships/hyperlink" Target="consultantplus://offline/ref=5B210991F9B6FEA11DEBB8FF25CD163260D81D2E209A1A3E00A34E09FF84491888EBF2FCB431B650167DCB9F7A61EB4769CA3BC63ADAXA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B210991F9B6FEA11DEBB8FF25CD163260D8112527931A3E00A34E09FF84491888EBF2FCB331BA014332CAC33C33F8456DCA39C525A14F5CD9XCI" TargetMode="External"/><Relationship Id="rId19" Type="http://schemas.openxmlformats.org/officeDocument/2006/relationships/hyperlink" Target="consultantplus://offline/ref=5B210991F9B6FEA11DEBB8FF25CD163260D81D2E209A1A3E00A34E09FF84491888EBF2FCB439B650167DCB9F7A61EB4769CA3BC63ADAX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10991F9B6FEA11DEBB8FF25CD163260D8112527931A3E00A34E09FF84491888EBF2FCB331BA014532CAC33C33F8456DCA39C525A14F5CD9XCI" TargetMode="External"/><Relationship Id="rId14" Type="http://schemas.openxmlformats.org/officeDocument/2006/relationships/hyperlink" Target="consultantplus://offline/ref=5B210991F9B6FEA11DEBB8FF25CD163260D8112527931A3E00A34E09FF84491888EBF2FCB331BB054E32CAC33C33F8456DCA39C525A14F5CD9XCI" TargetMode="External"/><Relationship Id="rId22" Type="http://schemas.openxmlformats.org/officeDocument/2006/relationships/hyperlink" Target="consultantplus://offline/ref=5B210991F9B6FEA11DEBB8FF25CD163260DB152E21921A3E00A34E09FF84491888EBF2FFB234B650167DCB9F7A61EB4769CA3BC63ADA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2019-03-27T08:23:00Z</dcterms:created>
  <dcterms:modified xsi:type="dcterms:W3CDTF">2019-03-27T08:23:00Z</dcterms:modified>
</cp:coreProperties>
</file>