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41" w:rsidRPr="00E66C41" w:rsidRDefault="00E66C41" w:rsidP="00E66C41">
      <w:pPr>
        <w:pStyle w:val="ConsPlusNormal"/>
        <w:jc w:val="center"/>
        <w:rPr>
          <w:rFonts w:ascii="Times New Roman" w:hAnsi="Times New Roman" w:cs="Times New Roman"/>
          <w:b/>
          <w:sz w:val="28"/>
          <w:szCs w:val="28"/>
        </w:rPr>
      </w:pPr>
      <w:bookmarkStart w:id="0" w:name="_GoBack"/>
      <w:bookmarkEnd w:id="0"/>
      <w:r w:rsidRPr="00E66C41">
        <w:rPr>
          <w:rFonts w:ascii="Times New Roman" w:hAnsi="Times New Roman" w:cs="Times New Roman"/>
          <w:b/>
          <w:sz w:val="28"/>
          <w:szCs w:val="28"/>
        </w:rPr>
        <w:t>Подпрограмма "Развитие медицинской реабилитации и санаторно-курортного лечения, в том числе детей"</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rPr>
      </w:pPr>
      <w:r w:rsidRPr="00E66C41">
        <w:rPr>
          <w:rFonts w:ascii="Times New Roman" w:hAnsi="Times New Roman" w:cs="Times New Roman"/>
        </w:rPr>
        <w:t>Паспорт Подпрограммы</w:t>
      </w:r>
    </w:p>
    <w:p w:rsidR="00E66C41" w:rsidRPr="00E66C41" w:rsidRDefault="00E66C41" w:rsidP="00E66C41">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E66C41" w:rsidRPr="00E66C41" w:rsidTr="00C45449">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Ответственный исполнитель Подпрограммы</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Комитет по здравоохранению Ленинградской области</w:t>
            </w:r>
          </w:p>
        </w:tc>
      </w:tr>
      <w:tr w:rsidR="00E66C41" w:rsidRPr="00E66C41" w:rsidTr="00E66C41">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Участники Подпрограммы</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Комитет по здравоохранению Ленинградской области;</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Ленинградский областной комитет по управлению государственным имуществом;</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ГКУЗ ЛО "Детский специализированный санаторий "Зорька", ГБУЗ ЛО Санаторий "Сосновый мыс"</w:t>
            </w:r>
          </w:p>
        </w:tc>
      </w:tr>
      <w:tr w:rsidR="00E66C41" w:rsidRPr="00E66C41" w:rsidTr="00C45449">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Цели Подпрограммы</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Обеспечение санаторного этапа реабилитации при болезнях системы кровообращения и других заболеваниях;</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повышение качества и уровня доступности санаторно-курортного лечения для детей, больных туберкулезом</w:t>
            </w:r>
          </w:p>
        </w:tc>
      </w:tr>
      <w:tr w:rsidR="00E66C41" w:rsidRPr="00E66C41" w:rsidTr="00C45449">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Задачи Подпрограммы</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Обеспечение текущего содержания ГБУЗ "Детский областной противотуберкулезный санаторий "Сосновый мыс"</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организация долечивания в условиях санатория пациентов, перенесших острый инфаркт миокарда, мозговой инсульт, хирургические вмешательства</w:t>
            </w:r>
          </w:p>
        </w:tc>
      </w:tr>
      <w:tr w:rsidR="00E66C41" w:rsidRPr="00E66C41" w:rsidTr="00E66C41">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Этапы и сроки реализации Подпрограммы</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Подпрограмма реализуется в 2014-2018 годах в один этап</w:t>
            </w:r>
          </w:p>
        </w:tc>
      </w:tr>
      <w:tr w:rsidR="00E66C41" w:rsidRPr="00E66C41" w:rsidTr="00E66C41">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Финансовое обеспечение Подпрограммы - всего, в том числе по источникам финансирования</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Всего по подпрограмме - 2231717,91 тыс. рублей за счет средств областного бюджета, в том числе:</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2014 год - 433764,81 тыс. рублей;</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2015 год - 699549,70 тыс. рублей;</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2016 год - 377292,50 тыс. рублей;</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2017 год - 361688,10 тыс. рублей;</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2018 год - 359422,80 тыс. рублей</w:t>
            </w:r>
          </w:p>
        </w:tc>
      </w:tr>
      <w:tr w:rsidR="00E66C41" w:rsidRPr="00E66C41" w:rsidTr="00E66C41">
        <w:tc>
          <w:tcPr>
            <w:tcW w:w="2268" w:type="dxa"/>
          </w:tcPr>
          <w:p w:rsidR="00E66C41" w:rsidRPr="00E66C41" w:rsidRDefault="00E66C41" w:rsidP="00C45449">
            <w:pPr>
              <w:pStyle w:val="ConsPlusNormal"/>
              <w:rPr>
                <w:rFonts w:ascii="Times New Roman" w:hAnsi="Times New Roman" w:cs="Times New Roman"/>
              </w:rPr>
            </w:pPr>
            <w:r w:rsidRPr="00E66C41">
              <w:rPr>
                <w:rFonts w:ascii="Times New Roman" w:hAnsi="Times New Roman" w:cs="Times New Roman"/>
              </w:rPr>
              <w:t>Ожидаемые результаты реализации Подпрограммы</w:t>
            </w:r>
          </w:p>
        </w:tc>
        <w:tc>
          <w:tcPr>
            <w:tcW w:w="7370" w:type="dxa"/>
          </w:tcPr>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Количество пролеченных детей - 450 человек ежегодно;</w:t>
            </w:r>
          </w:p>
          <w:p w:rsidR="00E66C41" w:rsidRPr="00E66C41" w:rsidRDefault="00E66C41" w:rsidP="00C45449">
            <w:pPr>
              <w:pStyle w:val="ConsPlusNormal"/>
              <w:jc w:val="both"/>
              <w:rPr>
                <w:rFonts w:ascii="Times New Roman" w:hAnsi="Times New Roman" w:cs="Times New Roman"/>
              </w:rPr>
            </w:pPr>
            <w:r w:rsidRPr="00E66C41">
              <w:rPr>
                <w:rFonts w:ascii="Times New Roman" w:hAnsi="Times New Roman" w:cs="Times New Roman"/>
              </w:rPr>
              <w:t>количество путевок - не менее 1280 ежегодно</w:t>
            </w:r>
          </w:p>
        </w:tc>
      </w:tr>
    </w:tbl>
    <w:p w:rsidR="00E66C41" w:rsidRPr="00E66C41" w:rsidRDefault="00E66C41" w:rsidP="00E66C41">
      <w:pPr>
        <w:rPr>
          <w:rFonts w:ascii="Times New Roman" w:hAnsi="Times New Roman" w:cs="Times New Roman"/>
        </w:rPr>
        <w:sectPr w:rsidR="00E66C41" w:rsidRPr="00E66C41" w:rsidSect="00E66C41">
          <w:pgSz w:w="11905" w:h="16838"/>
          <w:pgMar w:top="1701" w:right="1134" w:bottom="850" w:left="1134" w:header="0" w:footer="0" w:gutter="0"/>
          <w:cols w:space="720"/>
          <w:docGrid w:linePitch="299"/>
        </w:sectPr>
      </w:pP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b/>
          <w:sz w:val="28"/>
          <w:szCs w:val="28"/>
        </w:rPr>
      </w:pPr>
      <w:r w:rsidRPr="00E66C41">
        <w:rPr>
          <w:rFonts w:ascii="Times New Roman" w:hAnsi="Times New Roman" w:cs="Times New Roman"/>
          <w:b/>
          <w:sz w:val="28"/>
          <w:szCs w:val="28"/>
        </w:rPr>
        <w:t>Общая характеристика сферы реализации Подпрограммы, основные проблемы в сфере здравоохранения и прогноз развития</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 xml:space="preserve">В последние годы в Ленинградской области активизирована работа по раннему выявлению у населения заболеваний </w:t>
      </w:r>
      <w:proofErr w:type="gramStart"/>
      <w:r w:rsidRPr="00E66C41">
        <w:rPr>
          <w:rFonts w:ascii="Times New Roman" w:hAnsi="Times New Roman" w:cs="Times New Roman"/>
        </w:rPr>
        <w:t>сердечно-сосудистой</w:t>
      </w:r>
      <w:proofErr w:type="gramEnd"/>
      <w:r w:rsidRPr="00E66C41">
        <w:rPr>
          <w:rFonts w:ascii="Times New Roman" w:hAnsi="Times New Roman" w:cs="Times New Roman"/>
        </w:rPr>
        <w:t xml:space="preserve">, нервной систем, болезней органов пищеварения, онкологических заболеваний, заболеваний алкоголизмом и наркоманией. Болезни </w:t>
      </w:r>
      <w:proofErr w:type="gramStart"/>
      <w:r w:rsidRPr="00E66C41">
        <w:rPr>
          <w:rFonts w:ascii="Times New Roman" w:hAnsi="Times New Roman" w:cs="Times New Roman"/>
        </w:rPr>
        <w:t>сердечно-сосудистой</w:t>
      </w:r>
      <w:proofErr w:type="gramEnd"/>
      <w:r w:rsidRPr="00E66C41">
        <w:rPr>
          <w:rFonts w:ascii="Times New Roman" w:hAnsi="Times New Roman" w:cs="Times New Roman"/>
        </w:rPr>
        <w:t>, пищеварительной, нервной и опорно-двигательной систем организма имеют серьезные экономические последствия. Возникающие в результате этих заболеваний осложнения приводят к временной или стойкой утрате трудоспособности и инвалидизации работающего населения. Мероприятия медицинской реабилитации направлены на предотвращение осложнений или снижение их степени тяжести, и чем раньше больному начаты реабилитационные мероприятия, тем лучше прогноз течения заболевания.</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Система медицинской реабилитации - одно из приоритетных направлений деятельности службы здравоохранения, необходимых для снижения уровня смертности населения от предотвратимых причин и показателей распространенности социально значимых заболеваний.</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 xml:space="preserve">Медицинская реабилитация - это комплекс мероприятий медицинского и психологического характера, направленных на полное или частичное восстановление нарушенных </w:t>
      </w:r>
      <w:proofErr w:type="gramStart"/>
      <w:r w:rsidRPr="00E66C41">
        <w:rPr>
          <w:rFonts w:ascii="Times New Roman" w:hAnsi="Times New Roman" w:cs="Times New Roman"/>
        </w:rPr>
        <w:t>и(</w:t>
      </w:r>
      <w:proofErr w:type="gramEnd"/>
      <w:r w:rsidRPr="00E66C41">
        <w:rPr>
          <w:rFonts w:ascii="Times New Roman" w:hAnsi="Times New Roman" w:cs="Times New Roman"/>
        </w:rPr>
        <w:t xml:space="preserve">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E66C41">
        <w:rPr>
          <w:rFonts w:ascii="Times New Roman" w:hAnsi="Times New Roman" w:cs="Times New Roman"/>
        </w:rPr>
        <w:t>развившегося</w:t>
      </w:r>
      <w:proofErr w:type="spellEnd"/>
      <w:r w:rsidRPr="00E66C41">
        <w:rPr>
          <w:rFonts w:ascii="Times New Roman" w:hAnsi="Times New Roman" w:cs="Times New Roman"/>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его социальную интеграцию.</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Медицинская реабилитация осуществляется в медицинских организациях и включает комплексное применение природных лечебных факторов, лекарственной, немедикаментозной терапии и других методов.</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В настоящее время в Ленинградской области осуществляется следующая схема восстановительного лечения:</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в амбулаторно-поликлинических условиях реабилитация больных осуществляется по назначению врачей общей практики и врачей, ведущих амбулаторный прием соответствующего профиля, и в дневных стационарах поликлиники;</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ранняя реабилитация в остром периоде заболеваний проводится в стационарах государственных и муниципальных медицинских организаций, включая реанимации, травматологические центры второго уровня и региональный, первичные сосудистые отделения и региональный сосудистый центр.</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Сформирована схема маршрутизации больных, госпитализируемых в сосудистые и травматологические центры.</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Восстановительное лечение в стационарных условиях за счет средств обязательного медицинского страхования в муниципальных учреждениях здравоохранения Ленинградской области осуществляется на базе развернутых в семи районах 235 коек восстановительного лечения (ГБУЗ ЛО "Волховская МБ", ГБУЗ ЛО "Всеволожская КМБ", ГБУЗ ЛО "Киришская МБ", ГБУЗ ЛО "Тосненская КМБ", ГБУЗ ЛО "Гатчинская КМБ", ГБУЗ ЛО "Кировская МБ", ГБУЗ ЛО "Кингисеппская МБ") и 15 коек ГБУЗ ЛОКБ. На базе ГКУЗ ЛОНД функционирует 20 коек для реабилитации больных алкоголизмом, наркоманией и токсикоманией. Однако указанные учреждения не соответствуют требованиям утвержденного приказом Министерства здравоохранения Российской Федерации порядка по организации медицинской реабилитации. В Ленинградской области отсутствуют учреждения санаторного типа для долечивания больных на третьем этапе реабилитации.</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 xml:space="preserve">В связи с </w:t>
      </w:r>
      <w:proofErr w:type="gramStart"/>
      <w:r w:rsidRPr="00E66C41">
        <w:rPr>
          <w:rFonts w:ascii="Times New Roman" w:hAnsi="Times New Roman" w:cs="Times New Roman"/>
        </w:rPr>
        <w:t>изложенным</w:t>
      </w:r>
      <w:proofErr w:type="gramEnd"/>
      <w:r w:rsidRPr="00E66C41">
        <w:rPr>
          <w:rFonts w:ascii="Times New Roman" w:hAnsi="Times New Roman" w:cs="Times New Roman"/>
        </w:rPr>
        <w:t xml:space="preserve"> в регионе существует потребность в закупке санаторно-курортных путевок для долечивания больных в специализированных санаториях, расположенных в других регионах, в частности в Санкт-Петербурге.</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Первичная заболеваемость туберкулезом на территории Ленинградской области составила в 2012 году 63,9, что на 4,7 проц. меньше показателя 2011 года (67,1 на 100 тыс. населения). Распространенность туберкулеза в 2012 году составила 123,9 на 100 тыс. населения (в 2011 году - 121,4).</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 xml:space="preserve">В 2012 году показатель заболеваемости детского населения туберкулезом вырос в сравнении </w:t>
      </w:r>
      <w:r w:rsidRPr="00E66C41">
        <w:rPr>
          <w:rFonts w:ascii="Times New Roman" w:hAnsi="Times New Roman" w:cs="Times New Roman"/>
        </w:rPr>
        <w:lastRenderedPageBreak/>
        <w:t>с 2008 годом и уменьшился по сравнению с 2011 годом. В 2008 году показатель заболеваемости детей туберкулезом составлял 13,7 на 100 тыс. детского населения, в 2011 году - 17,0, в 2012 году - 15,4. Взрослые больные туберкулезом направляются в туберкулезные санатории федерального подчинения. Дети, больные туберкулезом, получают санаторное лечение, кроме санаториев федерального подчинения, в ГБУЗ "Детский областной противотуберкулезный санаторий "Сосновый мыс".</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b/>
          <w:sz w:val="28"/>
          <w:szCs w:val="28"/>
        </w:rPr>
      </w:pPr>
      <w:r w:rsidRPr="00E66C41">
        <w:rPr>
          <w:rFonts w:ascii="Times New Roman" w:hAnsi="Times New Roman" w:cs="Times New Roman"/>
          <w:b/>
          <w:sz w:val="28"/>
          <w:szCs w:val="28"/>
        </w:rPr>
        <w:t>Цели подпрограммы</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Обеспечение санаторного этапа реабилитации при болезнях системы кровообращения и других заболеваниях;</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повышение качества и уровня доступности санаторно-курортного лечения для детей, больных туберкулезом.</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b/>
          <w:sz w:val="28"/>
          <w:szCs w:val="28"/>
        </w:rPr>
      </w:pPr>
      <w:r w:rsidRPr="00E66C41">
        <w:rPr>
          <w:rFonts w:ascii="Times New Roman" w:hAnsi="Times New Roman" w:cs="Times New Roman"/>
          <w:b/>
          <w:sz w:val="28"/>
          <w:szCs w:val="28"/>
        </w:rPr>
        <w:t>Задачи подпрограммы</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Обеспечение текущего содержания ГБУЗ "Детский областной противотуберкулезный санаторий "Сосновый мыс";</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организация долечивания в условиях санатория пациентов, перенесших острый инфаркт миокарда, мозговой инсульт, хирургические вмешательства.</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b/>
          <w:sz w:val="28"/>
          <w:szCs w:val="28"/>
        </w:rPr>
      </w:pPr>
      <w:r w:rsidRPr="00E66C41">
        <w:rPr>
          <w:rFonts w:ascii="Times New Roman" w:hAnsi="Times New Roman" w:cs="Times New Roman"/>
          <w:b/>
          <w:sz w:val="28"/>
          <w:szCs w:val="28"/>
        </w:rPr>
        <w:t>Характеристика основных мероприятий Подпрограммы</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В 2014-2015 годах:</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i/>
        </w:rPr>
      </w:pPr>
      <w:r w:rsidRPr="00E66C41">
        <w:rPr>
          <w:rFonts w:ascii="Times New Roman" w:hAnsi="Times New Roman" w:cs="Times New Roman"/>
          <w:i/>
        </w:rPr>
        <w:t>Мероприятие 5.1. Обеспечение деятельности государственных казенных учреждений</w:t>
      </w:r>
    </w:p>
    <w:p w:rsidR="00E66C41" w:rsidRPr="00E66C41" w:rsidRDefault="00E66C41" w:rsidP="00E66C41">
      <w:pPr>
        <w:pStyle w:val="ConsPlusNormal"/>
        <w:ind w:firstLine="540"/>
        <w:jc w:val="both"/>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Средства Подпрограммы направляются на текущее содержание ГКУЗ "Детский специализированный санаторий "Зорька".</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i/>
        </w:rPr>
      </w:pPr>
      <w:r w:rsidRPr="00E66C41">
        <w:rPr>
          <w:rFonts w:ascii="Times New Roman" w:hAnsi="Times New Roman" w:cs="Times New Roman"/>
          <w:i/>
        </w:rPr>
        <w:t>Мероприятие 5.2. Обеспечение деятельности государственных бюджетных учреждений</w:t>
      </w:r>
    </w:p>
    <w:p w:rsidR="00E66C41" w:rsidRPr="00E66C41" w:rsidRDefault="00E66C41" w:rsidP="00E66C41">
      <w:pPr>
        <w:pStyle w:val="ConsPlusNormal"/>
        <w:ind w:firstLine="540"/>
        <w:jc w:val="both"/>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i/>
        </w:rPr>
      </w:pPr>
      <w:r w:rsidRPr="00E66C41">
        <w:rPr>
          <w:rFonts w:ascii="Times New Roman" w:hAnsi="Times New Roman" w:cs="Times New Roman"/>
          <w:i/>
        </w:rPr>
        <w:t>Мероприятие 5.3. Организация долечивания граждан Ленинградской области в условиях санатория</w:t>
      </w:r>
    </w:p>
    <w:p w:rsidR="00E66C41" w:rsidRPr="00E66C41" w:rsidRDefault="00E66C41" w:rsidP="00E66C41">
      <w:pPr>
        <w:pStyle w:val="ConsPlusNormal"/>
        <w:ind w:firstLine="540"/>
        <w:jc w:val="both"/>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 из числа работающего населения Ленинградской области.</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i/>
        </w:rPr>
      </w:pPr>
      <w:r w:rsidRPr="00E66C41">
        <w:rPr>
          <w:rFonts w:ascii="Times New Roman" w:hAnsi="Times New Roman" w:cs="Times New Roman"/>
          <w:i/>
        </w:rPr>
        <w:t>Мероприятие 5.4. Предоставление сре</w:t>
      </w:r>
      <w:proofErr w:type="gramStart"/>
      <w:r w:rsidRPr="00E66C41">
        <w:rPr>
          <w:rFonts w:ascii="Times New Roman" w:hAnsi="Times New Roman" w:cs="Times New Roman"/>
          <w:i/>
        </w:rPr>
        <w:t>дств в ц</w:t>
      </w:r>
      <w:proofErr w:type="gramEnd"/>
      <w:r w:rsidRPr="00E66C41">
        <w:rPr>
          <w:rFonts w:ascii="Times New Roman" w:hAnsi="Times New Roman" w:cs="Times New Roman"/>
          <w:i/>
        </w:rPr>
        <w:t>елях увеличения уставного капитала открытого акционерного общества "Отель "Звездный".</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В 2016-2018 годах:</w:t>
      </w:r>
    </w:p>
    <w:p w:rsidR="00E66C41" w:rsidRPr="00E66C41" w:rsidRDefault="00E66C41" w:rsidP="00E66C41">
      <w:pPr>
        <w:pStyle w:val="ConsPlusNormal"/>
        <w:ind w:firstLine="540"/>
        <w:jc w:val="both"/>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i/>
        </w:rPr>
      </w:pPr>
      <w:r w:rsidRPr="00E66C41">
        <w:rPr>
          <w:rFonts w:ascii="Times New Roman" w:hAnsi="Times New Roman" w:cs="Times New Roman"/>
          <w:i/>
        </w:rPr>
        <w:t>Основное мероприятие "Развитие санаторно-курортного лечения"</w:t>
      </w:r>
    </w:p>
    <w:p w:rsidR="00E66C41" w:rsidRPr="00E66C41" w:rsidRDefault="00E66C41" w:rsidP="00E66C41">
      <w:pPr>
        <w:pStyle w:val="ConsPlusNormal"/>
        <w:ind w:firstLine="540"/>
        <w:jc w:val="both"/>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Средства Подпрограммы направляются на текущее содержание ГКУЗ "Детский специализированный санаторий "Зорька".</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lastRenderedPageBreak/>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 из числа работающего населения Ленинградской области.</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Предоставление сре</w:t>
      </w:r>
      <w:proofErr w:type="gramStart"/>
      <w:r w:rsidRPr="00E66C41">
        <w:rPr>
          <w:rFonts w:ascii="Times New Roman" w:hAnsi="Times New Roman" w:cs="Times New Roman"/>
        </w:rPr>
        <w:t>дств в ц</w:t>
      </w:r>
      <w:proofErr w:type="gramEnd"/>
      <w:r w:rsidRPr="00E66C41">
        <w:rPr>
          <w:rFonts w:ascii="Times New Roman" w:hAnsi="Times New Roman" w:cs="Times New Roman"/>
        </w:rPr>
        <w:t>елях увеличения уставного капитала открытого акционерного общества "Отель "Звездный".</w:t>
      </w:r>
    </w:p>
    <w:p w:rsidR="00E66C41" w:rsidRPr="00E66C41" w:rsidRDefault="00E66C41" w:rsidP="00E66C41">
      <w:pPr>
        <w:pStyle w:val="ConsPlusNormal"/>
        <w:ind w:firstLine="540"/>
        <w:jc w:val="both"/>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b/>
          <w:sz w:val="28"/>
          <w:szCs w:val="28"/>
        </w:rPr>
      </w:pPr>
      <w:r w:rsidRPr="00E66C41">
        <w:rPr>
          <w:rFonts w:ascii="Times New Roman" w:hAnsi="Times New Roman" w:cs="Times New Roman"/>
          <w:b/>
          <w:sz w:val="28"/>
          <w:szCs w:val="28"/>
        </w:rPr>
        <w:t>Ожидаемые результаты реализации Подпрограммы</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Количество пролеченных детей составит 450 человек ежегодно;</w:t>
      </w: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количество путевок составит не менее 1280 ежегодно.</w:t>
      </w:r>
    </w:p>
    <w:p w:rsidR="00E66C41" w:rsidRPr="00E66C41" w:rsidRDefault="00E66C41" w:rsidP="00E66C41">
      <w:pPr>
        <w:pStyle w:val="ConsPlusNormal"/>
        <w:rPr>
          <w:rFonts w:ascii="Times New Roman" w:hAnsi="Times New Roman" w:cs="Times New Roman"/>
        </w:rPr>
      </w:pPr>
    </w:p>
    <w:p w:rsidR="00E66C41" w:rsidRPr="00E66C41" w:rsidRDefault="00E66C41" w:rsidP="00E66C41">
      <w:pPr>
        <w:pStyle w:val="ConsPlusNormal"/>
        <w:jc w:val="center"/>
        <w:rPr>
          <w:rFonts w:ascii="Times New Roman" w:hAnsi="Times New Roman" w:cs="Times New Roman"/>
          <w:b/>
          <w:sz w:val="28"/>
          <w:szCs w:val="28"/>
        </w:rPr>
      </w:pPr>
      <w:r w:rsidRPr="00E66C41">
        <w:rPr>
          <w:rFonts w:ascii="Times New Roman" w:hAnsi="Times New Roman" w:cs="Times New Roman"/>
          <w:b/>
          <w:sz w:val="28"/>
          <w:szCs w:val="28"/>
        </w:rPr>
        <w:t>Сроки и этапы реализации Подпрограммы</w:t>
      </w:r>
    </w:p>
    <w:p w:rsidR="00E66C41" w:rsidRPr="00E66C41" w:rsidRDefault="00E66C41" w:rsidP="00E66C41">
      <w:pPr>
        <w:pStyle w:val="ConsPlusNormal"/>
        <w:jc w:val="center"/>
        <w:rPr>
          <w:rFonts w:ascii="Times New Roman" w:hAnsi="Times New Roman" w:cs="Times New Roman"/>
        </w:rPr>
      </w:pPr>
    </w:p>
    <w:p w:rsidR="00E66C41" w:rsidRPr="00E66C41" w:rsidRDefault="00E66C41" w:rsidP="00E66C41">
      <w:pPr>
        <w:pStyle w:val="ConsPlusNormal"/>
        <w:ind w:firstLine="540"/>
        <w:jc w:val="both"/>
        <w:rPr>
          <w:rFonts w:ascii="Times New Roman" w:hAnsi="Times New Roman" w:cs="Times New Roman"/>
        </w:rPr>
      </w:pPr>
      <w:r w:rsidRPr="00E66C41">
        <w:rPr>
          <w:rFonts w:ascii="Times New Roman" w:hAnsi="Times New Roman" w:cs="Times New Roman"/>
        </w:rPr>
        <w:t>Подпрограмма реализуется в 2014-2018 годах в один этап.</w:t>
      </w:r>
    </w:p>
    <w:p w:rsidR="00AD7C06" w:rsidRDefault="00AD7C06"/>
    <w:sectPr w:rsidR="00AD7C06" w:rsidSect="00E66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C8" w:rsidRDefault="005E63C8" w:rsidP="00E66C41">
      <w:pPr>
        <w:spacing w:after="0" w:line="240" w:lineRule="auto"/>
      </w:pPr>
      <w:r>
        <w:separator/>
      </w:r>
    </w:p>
  </w:endnote>
  <w:endnote w:type="continuationSeparator" w:id="0">
    <w:p w:rsidR="005E63C8" w:rsidRDefault="005E63C8" w:rsidP="00E6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C8" w:rsidRDefault="005E63C8" w:rsidP="00E66C41">
      <w:pPr>
        <w:spacing w:after="0" w:line="240" w:lineRule="auto"/>
      </w:pPr>
      <w:r>
        <w:separator/>
      </w:r>
    </w:p>
  </w:footnote>
  <w:footnote w:type="continuationSeparator" w:id="0">
    <w:p w:rsidR="005E63C8" w:rsidRDefault="005E63C8" w:rsidP="00E66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41"/>
    <w:rsid w:val="0040774A"/>
    <w:rsid w:val="005E63C8"/>
    <w:rsid w:val="00AD7C06"/>
    <w:rsid w:val="00E66C41"/>
    <w:rsid w:val="00F6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C4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66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C41"/>
  </w:style>
  <w:style w:type="paragraph" w:styleId="a5">
    <w:name w:val="footer"/>
    <w:basedOn w:val="a"/>
    <w:link w:val="a6"/>
    <w:uiPriority w:val="99"/>
    <w:unhideWhenUsed/>
    <w:rsid w:val="00E66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C4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66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C41"/>
  </w:style>
  <w:style w:type="paragraph" w:styleId="a5">
    <w:name w:val="footer"/>
    <w:basedOn w:val="a"/>
    <w:link w:val="a6"/>
    <w:uiPriority w:val="99"/>
    <w:unhideWhenUsed/>
    <w:rsid w:val="00E66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plan3.lokz</dc:creator>
  <cp:lastModifiedBy>Нина Олеговна Верединская</cp:lastModifiedBy>
  <cp:revision>2</cp:revision>
  <dcterms:created xsi:type="dcterms:W3CDTF">2018-07-09T15:49:00Z</dcterms:created>
  <dcterms:modified xsi:type="dcterms:W3CDTF">2018-07-09T15:49:00Z</dcterms:modified>
</cp:coreProperties>
</file>