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13" w:rsidRPr="00CA6313" w:rsidRDefault="00CA6313" w:rsidP="00CA6313">
      <w:pPr>
        <w:pStyle w:val="ConsPlusNormal"/>
        <w:jc w:val="center"/>
        <w:rPr>
          <w:rFonts w:ascii="Times New Roman" w:hAnsi="Times New Roman" w:cs="Times New Roman"/>
          <w:b/>
          <w:sz w:val="28"/>
          <w:szCs w:val="28"/>
        </w:rPr>
      </w:pPr>
      <w:bookmarkStart w:id="0" w:name="_GoBack"/>
      <w:bookmarkEnd w:id="0"/>
      <w:r w:rsidRPr="00CA6313">
        <w:rPr>
          <w:rFonts w:ascii="Times New Roman" w:hAnsi="Times New Roman" w:cs="Times New Roman"/>
          <w:b/>
          <w:sz w:val="28"/>
          <w:szCs w:val="28"/>
        </w:rPr>
        <w:t>Подпрограмма "Профилактика заболеваний и формирование здорового образа жизни. Развитие первичной медико-санитарной помощи"</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jc w:val="center"/>
        <w:rPr>
          <w:rFonts w:ascii="Times New Roman" w:hAnsi="Times New Roman" w:cs="Times New Roman"/>
          <w:sz w:val="28"/>
          <w:szCs w:val="28"/>
        </w:rPr>
      </w:pPr>
      <w:r w:rsidRPr="00CA6313">
        <w:rPr>
          <w:rFonts w:ascii="Times New Roman" w:hAnsi="Times New Roman" w:cs="Times New Roman"/>
          <w:sz w:val="28"/>
          <w:szCs w:val="28"/>
        </w:rPr>
        <w:t>Паспорт Подпрограммы</w:t>
      </w:r>
    </w:p>
    <w:p w:rsidR="00CA6313" w:rsidRPr="00CA6313" w:rsidRDefault="00CA6313" w:rsidP="00CA6313">
      <w:pPr>
        <w:pStyle w:val="ConsPlusNormal"/>
        <w:rPr>
          <w:rFonts w:ascii="Times New Roman" w:hAnsi="Times New Roman" w:cs="Times New Roman"/>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CA6313" w:rsidRPr="00CA6313" w:rsidTr="00CA6313">
        <w:tc>
          <w:tcPr>
            <w:tcW w:w="2268" w:type="dxa"/>
          </w:tcPr>
          <w:p w:rsidR="00CA6313" w:rsidRPr="00CA6313" w:rsidRDefault="00CA6313" w:rsidP="00C45449">
            <w:pPr>
              <w:pStyle w:val="ConsPlusNormal"/>
              <w:rPr>
                <w:rFonts w:ascii="Times New Roman" w:hAnsi="Times New Roman" w:cs="Times New Roman"/>
                <w:szCs w:val="22"/>
              </w:rPr>
            </w:pPr>
            <w:r w:rsidRPr="00CA6313">
              <w:rPr>
                <w:rFonts w:ascii="Times New Roman" w:hAnsi="Times New Roman" w:cs="Times New Roman"/>
                <w:szCs w:val="22"/>
              </w:rPr>
              <w:t>Ответственный исполнитель Подпрограммы</w:t>
            </w:r>
          </w:p>
        </w:tc>
        <w:tc>
          <w:tcPr>
            <w:tcW w:w="7370" w:type="dxa"/>
          </w:tcPr>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Комитет по здравоохранению Ленинградской области</w:t>
            </w:r>
          </w:p>
        </w:tc>
      </w:tr>
      <w:tr w:rsidR="00CA6313" w:rsidRPr="00CA6313" w:rsidTr="00CA6313">
        <w:tblPrEx>
          <w:tblBorders>
            <w:insideH w:val="nil"/>
          </w:tblBorders>
        </w:tblPrEx>
        <w:tc>
          <w:tcPr>
            <w:tcW w:w="2268" w:type="dxa"/>
            <w:tcBorders>
              <w:bottom w:val="nil"/>
            </w:tcBorders>
          </w:tcPr>
          <w:p w:rsidR="00CA6313" w:rsidRPr="00CA6313" w:rsidRDefault="00CA6313" w:rsidP="00C45449">
            <w:pPr>
              <w:pStyle w:val="ConsPlusNormal"/>
              <w:rPr>
                <w:rFonts w:ascii="Times New Roman" w:hAnsi="Times New Roman" w:cs="Times New Roman"/>
                <w:szCs w:val="22"/>
              </w:rPr>
            </w:pPr>
            <w:r w:rsidRPr="00CA6313">
              <w:rPr>
                <w:rFonts w:ascii="Times New Roman" w:hAnsi="Times New Roman" w:cs="Times New Roman"/>
                <w:szCs w:val="22"/>
              </w:rPr>
              <w:t>Участники Подпрограммы</w:t>
            </w:r>
          </w:p>
        </w:tc>
        <w:tc>
          <w:tcPr>
            <w:tcW w:w="7370" w:type="dxa"/>
            <w:tcBorders>
              <w:bottom w:val="nil"/>
            </w:tcBorders>
          </w:tcPr>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Комитет по здравоохранению Ленинградской области;</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 xml:space="preserve">медицинские организации государственной системы здравоохранения в соответствии с </w:t>
            </w:r>
            <w:hyperlink w:anchor="P7285" w:history="1">
              <w:r w:rsidRPr="00CA6313">
                <w:rPr>
                  <w:rFonts w:ascii="Times New Roman" w:hAnsi="Times New Roman" w:cs="Times New Roman"/>
                  <w:color w:val="0000FF"/>
                  <w:szCs w:val="22"/>
                </w:rPr>
                <w:t>приложением 7</w:t>
              </w:r>
            </w:hyperlink>
            <w:r w:rsidRPr="00CA6313">
              <w:rPr>
                <w:rFonts w:ascii="Times New Roman" w:hAnsi="Times New Roman" w:cs="Times New Roman"/>
                <w:szCs w:val="22"/>
              </w:rPr>
              <w:t xml:space="preserve"> к Программе;</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ГБУЗ ЛО "</w:t>
            </w:r>
            <w:proofErr w:type="gramStart"/>
            <w:r w:rsidRPr="00CA6313">
              <w:rPr>
                <w:rFonts w:ascii="Times New Roman" w:hAnsi="Times New Roman" w:cs="Times New Roman"/>
                <w:szCs w:val="22"/>
              </w:rPr>
              <w:t>Волховская</w:t>
            </w:r>
            <w:proofErr w:type="gramEnd"/>
            <w:r w:rsidRPr="00CA6313">
              <w:rPr>
                <w:rFonts w:ascii="Times New Roman" w:hAnsi="Times New Roman" w:cs="Times New Roman"/>
                <w:szCs w:val="22"/>
              </w:rPr>
              <w:t xml:space="preserve"> МБ", ГБУЗ ЛО "Лужская МБ", ГБУЗ ЛО "Гатчинская КМБ", ГБУЗ ЛО "Ломоносовская МБ", ГБУЗ ЛО "Тихвинская МБ"</w:t>
            </w:r>
          </w:p>
        </w:tc>
      </w:tr>
      <w:tr w:rsidR="00CA6313" w:rsidRPr="00CA6313" w:rsidTr="00CA6313">
        <w:tc>
          <w:tcPr>
            <w:tcW w:w="2268" w:type="dxa"/>
          </w:tcPr>
          <w:p w:rsidR="00CA6313" w:rsidRPr="00CA6313" w:rsidRDefault="00CA6313" w:rsidP="00C45449">
            <w:pPr>
              <w:pStyle w:val="ConsPlusNormal"/>
              <w:rPr>
                <w:rFonts w:ascii="Times New Roman" w:hAnsi="Times New Roman" w:cs="Times New Roman"/>
                <w:szCs w:val="22"/>
              </w:rPr>
            </w:pPr>
            <w:r w:rsidRPr="00CA6313">
              <w:rPr>
                <w:rFonts w:ascii="Times New Roman" w:hAnsi="Times New Roman" w:cs="Times New Roman"/>
                <w:szCs w:val="22"/>
              </w:rPr>
              <w:t>Цели Подпрограммы</w:t>
            </w:r>
          </w:p>
        </w:tc>
        <w:tc>
          <w:tcPr>
            <w:tcW w:w="7370" w:type="dxa"/>
          </w:tcPr>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Увеличение продолжительности активной жизни населения за счет формирования здорового образа жизни и профилактики заболеваний;</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снижение заболеваемости туберкулезом;</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снижение заболеваемости ВИЧ;</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повышение доступности офтальмохирургической помощи (уменьшение очереди на операции до одного месяца);</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повышение доли больных, у которых туберкулез выявлен на ранней стадии;</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снижение уровня смертности от инфекционных заболеваний;</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снижение заболеваемости алкоголизмом, наркоманией</w:t>
            </w:r>
          </w:p>
        </w:tc>
      </w:tr>
      <w:tr w:rsidR="00CA6313" w:rsidRPr="00CA6313" w:rsidTr="00CA6313">
        <w:tc>
          <w:tcPr>
            <w:tcW w:w="2268" w:type="dxa"/>
            <w:tcBorders>
              <w:bottom w:val="single" w:sz="4" w:space="0" w:color="auto"/>
            </w:tcBorders>
          </w:tcPr>
          <w:p w:rsidR="00CA6313" w:rsidRPr="00CA6313" w:rsidRDefault="00CA6313" w:rsidP="00C45449">
            <w:pPr>
              <w:pStyle w:val="ConsPlusNormal"/>
              <w:rPr>
                <w:rFonts w:ascii="Times New Roman" w:hAnsi="Times New Roman" w:cs="Times New Roman"/>
                <w:szCs w:val="22"/>
              </w:rPr>
            </w:pPr>
            <w:r w:rsidRPr="00CA6313">
              <w:rPr>
                <w:rFonts w:ascii="Times New Roman" w:hAnsi="Times New Roman" w:cs="Times New Roman"/>
                <w:szCs w:val="22"/>
              </w:rPr>
              <w:t>Задачи Подпрограммы</w:t>
            </w:r>
          </w:p>
        </w:tc>
        <w:tc>
          <w:tcPr>
            <w:tcW w:w="7370" w:type="dxa"/>
            <w:tcBorders>
              <w:bottom w:val="single" w:sz="4" w:space="0" w:color="auto"/>
            </w:tcBorders>
          </w:tcPr>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Развитие системы медицинской профилактики неинфекционных заболеваний и формирование здорового образа жизни у населения Ленинградской области;</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наибольших вклад в показатели инвалидизации и смертности населения;</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раннее выявление инфицированных ВИЧ, острыми вирусными гепатитами B и C;</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снижение заболеваемости наркоманией, туберкулезом;</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w:t>
            </w:r>
          </w:p>
        </w:tc>
      </w:tr>
      <w:tr w:rsidR="00CA6313" w:rsidRPr="00CA6313" w:rsidTr="00CA6313">
        <w:tblPrEx>
          <w:tblBorders>
            <w:insideH w:val="nil"/>
          </w:tblBorders>
        </w:tblPrEx>
        <w:tc>
          <w:tcPr>
            <w:tcW w:w="2268" w:type="dxa"/>
            <w:tcBorders>
              <w:top w:val="single" w:sz="4" w:space="0" w:color="auto"/>
              <w:bottom w:val="single" w:sz="4" w:space="0" w:color="auto"/>
            </w:tcBorders>
          </w:tcPr>
          <w:p w:rsidR="00CA6313" w:rsidRPr="00CA6313" w:rsidRDefault="00CA6313" w:rsidP="00C45449">
            <w:pPr>
              <w:pStyle w:val="ConsPlusNormal"/>
              <w:rPr>
                <w:rFonts w:ascii="Times New Roman" w:hAnsi="Times New Roman" w:cs="Times New Roman"/>
                <w:szCs w:val="22"/>
              </w:rPr>
            </w:pPr>
            <w:r w:rsidRPr="00CA6313">
              <w:rPr>
                <w:rFonts w:ascii="Times New Roman" w:hAnsi="Times New Roman" w:cs="Times New Roman"/>
                <w:szCs w:val="22"/>
              </w:rPr>
              <w:t>Этапы и сроки реализации Подпрограммы</w:t>
            </w:r>
          </w:p>
        </w:tc>
        <w:tc>
          <w:tcPr>
            <w:tcW w:w="7370" w:type="dxa"/>
            <w:tcBorders>
              <w:top w:val="single" w:sz="4" w:space="0" w:color="auto"/>
              <w:bottom w:val="single" w:sz="4" w:space="0" w:color="auto"/>
            </w:tcBorders>
          </w:tcPr>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Подпрограмма реализуется в 2014-2018 годах в один этап</w:t>
            </w:r>
          </w:p>
        </w:tc>
      </w:tr>
      <w:tr w:rsidR="00CA6313" w:rsidRPr="00CA6313" w:rsidTr="00CA6313">
        <w:tblPrEx>
          <w:tblBorders>
            <w:insideH w:val="nil"/>
          </w:tblBorders>
        </w:tblPrEx>
        <w:tc>
          <w:tcPr>
            <w:tcW w:w="2268" w:type="dxa"/>
            <w:tcBorders>
              <w:top w:val="single" w:sz="4" w:space="0" w:color="auto"/>
              <w:bottom w:val="single" w:sz="4" w:space="0" w:color="auto"/>
            </w:tcBorders>
          </w:tcPr>
          <w:p w:rsidR="00CA6313" w:rsidRPr="00CA6313" w:rsidRDefault="00CA6313" w:rsidP="00C45449">
            <w:pPr>
              <w:pStyle w:val="ConsPlusNormal"/>
              <w:rPr>
                <w:rFonts w:ascii="Times New Roman" w:hAnsi="Times New Roman" w:cs="Times New Roman"/>
                <w:szCs w:val="22"/>
              </w:rPr>
            </w:pPr>
            <w:r w:rsidRPr="00CA6313">
              <w:rPr>
                <w:rFonts w:ascii="Times New Roman" w:hAnsi="Times New Roman" w:cs="Times New Roman"/>
                <w:szCs w:val="22"/>
              </w:rPr>
              <w:t xml:space="preserve">Финансовое обеспечение Подпрограммы - всего, в том числе по </w:t>
            </w:r>
            <w:r w:rsidRPr="00CA6313">
              <w:rPr>
                <w:rFonts w:ascii="Times New Roman" w:hAnsi="Times New Roman" w:cs="Times New Roman"/>
                <w:szCs w:val="22"/>
              </w:rPr>
              <w:lastRenderedPageBreak/>
              <w:t>источникам финансирования</w:t>
            </w:r>
          </w:p>
        </w:tc>
        <w:tc>
          <w:tcPr>
            <w:tcW w:w="7370" w:type="dxa"/>
            <w:tcBorders>
              <w:top w:val="single" w:sz="4" w:space="0" w:color="auto"/>
              <w:bottom w:val="single" w:sz="4" w:space="0" w:color="auto"/>
            </w:tcBorders>
          </w:tcPr>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lastRenderedPageBreak/>
              <w:t>Всего по подпрограмме - 8611658,38 тыс. рублей, в том числе:</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федеральный бюджет - 1271751,91 тыс. рублей;</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областной бюджет - 7339146,47 тыс. рублей;</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2014 год - 1126274,30 тыс. рублей, в том числе:</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lastRenderedPageBreak/>
              <w:t>федеральный бюджет - 502849,91 тыс. рублей;</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областной бюджет - 623424,39 тыс. рублей;</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2015 год - 1466388,95 тыс. рублей, в том числе:</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федеральный бюджет - 609713,00 тыс. рублей;</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областной бюджет - 856675,95 тыс. рублей;</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2016 год - 1914366,70 тыс. рублей, в том числе:</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федеральный бюджет - 159189,00 тыс. рублей;</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областной бюджет - 1755177,70 тыс. рублей;</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2017 год - 2088333,25 тыс. рублей, в том числе:</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областной бюджет - 2088333,25 тыс. рублей;</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2018 год - 2016295,18 тыс. рублей, в том числе:</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областной бюджет - 2016295,18 тыс. рублей</w:t>
            </w:r>
          </w:p>
        </w:tc>
      </w:tr>
      <w:tr w:rsidR="00CA6313" w:rsidRPr="00CA6313" w:rsidTr="00CA6313">
        <w:tblPrEx>
          <w:tblBorders>
            <w:insideH w:val="nil"/>
          </w:tblBorders>
        </w:tblPrEx>
        <w:tc>
          <w:tcPr>
            <w:tcW w:w="2268" w:type="dxa"/>
            <w:tcBorders>
              <w:top w:val="single" w:sz="4" w:space="0" w:color="auto"/>
              <w:bottom w:val="single" w:sz="4" w:space="0" w:color="auto"/>
            </w:tcBorders>
          </w:tcPr>
          <w:p w:rsidR="00CA6313" w:rsidRPr="00CA6313" w:rsidRDefault="00CA6313" w:rsidP="00C45449">
            <w:pPr>
              <w:pStyle w:val="ConsPlusNormal"/>
              <w:rPr>
                <w:rFonts w:ascii="Times New Roman" w:hAnsi="Times New Roman" w:cs="Times New Roman"/>
                <w:szCs w:val="22"/>
              </w:rPr>
            </w:pPr>
            <w:r w:rsidRPr="00CA6313">
              <w:rPr>
                <w:rFonts w:ascii="Times New Roman" w:hAnsi="Times New Roman" w:cs="Times New Roman"/>
                <w:szCs w:val="22"/>
              </w:rPr>
              <w:lastRenderedPageBreak/>
              <w:t>Ожидаемые результаты реализации Подпрограммы</w:t>
            </w:r>
          </w:p>
        </w:tc>
        <w:tc>
          <w:tcPr>
            <w:tcW w:w="7370" w:type="dxa"/>
            <w:tcBorders>
              <w:top w:val="single" w:sz="4" w:space="0" w:color="auto"/>
              <w:bottom w:val="single" w:sz="4" w:space="0" w:color="auto"/>
            </w:tcBorders>
          </w:tcPr>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К 2018 году</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Объем первичной медико-санитарной помощи в государственных казенных учреждениях - 0,055 посещения на 1 жителя; 0,0071 обращения на 1 жителя;</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Объем первичной медико-санитарной помощи в бюджетных и автономных учреждениях - 0,131 посещения на 1 жителя; 0,063 обращения на 1 жителя; 0,004 пациенто-дня на 1 жителя;</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Доля медицинских организаций, имеющих в своем составе отделения, соответствующие Порядкам оказания помощи, от общего числа медицинских организаций - 53 процента;</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Снижение заболеваемости туберкулезом на 100 тыс. населения - 36,9 случая;</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Увеличение объема лекарственных средств, медицинских изделий, специализированных продуктов лечебного питания, доставленных в аптеки и медицинские организации Ленинградской области, - 72 процента;</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Увеличение обеспечения отдельных категорий граждан необходимыми лекарственными препаратами и медицинскими изделиями, а также специализированными продуктами лечебного питания для детей-инвалидов - 98 процентов;</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 xml:space="preserve">Удовлетворение потребности в лекарственных </w:t>
            </w:r>
            <w:proofErr w:type="gramStart"/>
            <w:r w:rsidRPr="00CA6313">
              <w:rPr>
                <w:rFonts w:ascii="Times New Roman" w:hAnsi="Times New Roman" w:cs="Times New Roman"/>
                <w:szCs w:val="22"/>
              </w:rPr>
              <w:t>препаратах</w:t>
            </w:r>
            <w:proofErr w:type="gramEnd"/>
            <w:r w:rsidRPr="00CA6313">
              <w:rPr>
                <w:rFonts w:ascii="Times New Roman" w:hAnsi="Times New Roman" w:cs="Times New Roman"/>
                <w:szCs w:val="22"/>
              </w:rPr>
              <w:t xml:space="preserve"> для лечения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- 98 процентов;</w:t>
            </w:r>
          </w:p>
          <w:p w:rsidR="00CA6313" w:rsidRPr="00CA6313" w:rsidRDefault="00CA6313" w:rsidP="00C45449">
            <w:pPr>
              <w:pStyle w:val="ConsPlusNormal"/>
              <w:jc w:val="both"/>
              <w:rPr>
                <w:rFonts w:ascii="Times New Roman" w:hAnsi="Times New Roman" w:cs="Times New Roman"/>
                <w:szCs w:val="22"/>
              </w:rPr>
            </w:pPr>
            <w:r w:rsidRPr="00CA6313">
              <w:rPr>
                <w:rFonts w:ascii="Times New Roman" w:hAnsi="Times New Roman" w:cs="Times New Roman"/>
                <w:szCs w:val="22"/>
              </w:rPr>
              <w:t>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- 48,5 процентов</w:t>
            </w:r>
          </w:p>
        </w:tc>
      </w:tr>
    </w:tbl>
    <w:p w:rsidR="00CA6313" w:rsidRPr="00CA6313" w:rsidRDefault="00CA6313" w:rsidP="00CA6313">
      <w:pPr>
        <w:rPr>
          <w:rFonts w:ascii="Times New Roman" w:hAnsi="Times New Roman" w:cs="Times New Roman"/>
        </w:rPr>
        <w:sectPr w:rsidR="00CA6313" w:rsidRPr="00CA6313" w:rsidSect="00CA6313">
          <w:type w:val="continuous"/>
          <w:pgSz w:w="11905" w:h="16838"/>
          <w:pgMar w:top="1134" w:right="850" w:bottom="1134" w:left="1701" w:header="0" w:footer="0" w:gutter="0"/>
          <w:cols w:space="720"/>
          <w:docGrid w:linePitch="299"/>
        </w:sectPr>
      </w:pPr>
    </w:p>
    <w:p w:rsidR="00CA6313" w:rsidRPr="00CA6313" w:rsidRDefault="00CA6313" w:rsidP="00CA6313">
      <w:pPr>
        <w:pStyle w:val="ConsPlusNormal"/>
        <w:jc w:val="center"/>
        <w:rPr>
          <w:rFonts w:ascii="Times New Roman" w:hAnsi="Times New Roman" w:cs="Times New Roman"/>
          <w:b/>
          <w:sz w:val="28"/>
          <w:szCs w:val="28"/>
        </w:rPr>
      </w:pPr>
      <w:r w:rsidRPr="00CA6313">
        <w:rPr>
          <w:rFonts w:ascii="Times New Roman" w:hAnsi="Times New Roman" w:cs="Times New Roman"/>
          <w:b/>
          <w:sz w:val="28"/>
          <w:szCs w:val="28"/>
        </w:rPr>
        <w:lastRenderedPageBreak/>
        <w:t>Общая характеристика сферы реализации Подпрограммы, основные проблемы в сфере здравоохранения и прогноз развития</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Численность постоянного населения Ленинградской области на 1 июля 2013 года составила 1753,7 тыс. человек (увеличилась с начала года на 2,6 тыс. человек, или на 0,15 проц.).</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Демографическая ситуация в январе-июне 2013 года характеризовалась увеличением уровня естественной убыли населения за счет снижения рождаемости и роста смертности.</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Число умерших в январе-июне 2013 года составило 12971 человек и по сравнению с соответствующим периодом предыдущего года увеличилось на 2,1 проц., коэффициент смертности увеличился с 14,8 до 15,0 человека на 1000 населения.</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 xml:space="preserve">Рост смертности </w:t>
      </w:r>
      <w:proofErr w:type="gramStart"/>
      <w:r w:rsidRPr="00CA6313">
        <w:rPr>
          <w:rFonts w:ascii="Times New Roman" w:hAnsi="Times New Roman" w:cs="Times New Roman"/>
        </w:rPr>
        <w:t>обусловлен</w:t>
      </w:r>
      <w:proofErr w:type="gramEnd"/>
      <w:r w:rsidRPr="00CA6313">
        <w:rPr>
          <w:rFonts w:ascii="Times New Roman" w:hAnsi="Times New Roman" w:cs="Times New Roman"/>
        </w:rPr>
        <w:t xml:space="preserve"> прежде всего процессом старения населения, а также высокой смертностью мужчин трудоспособного возраста (в основном от внешних причин смерти). В составе умерших доля населения в трудоспособном возрасте составляет 25,5 проц. (мужчин - 77,8 проц., женщин - 22,2 проц.).</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 результате снижения рождаемости и роста смертности естественная убыль населения в январе-июне 2013 года увеличилась на 7,2 проц. по сравнению с аналогичным периодом 2012 года, а уровень естественной убыли населения составил 6,5 человека на 1000 населения (в январе-июне 2012 года - 6,1 человека на 1000 населения).</w:t>
      </w:r>
    </w:p>
    <w:p w:rsidR="00CA6313" w:rsidRPr="00CA6313" w:rsidRDefault="00CA6313" w:rsidP="00CA6313">
      <w:pPr>
        <w:pStyle w:val="ConsPlusNormal"/>
        <w:ind w:firstLine="540"/>
        <w:jc w:val="both"/>
        <w:rPr>
          <w:rFonts w:ascii="Times New Roman" w:hAnsi="Times New Roman" w:cs="Times New Roman"/>
        </w:rPr>
      </w:pPr>
      <w:proofErr w:type="gramStart"/>
      <w:r w:rsidRPr="00CA6313">
        <w:rPr>
          <w:rFonts w:ascii="Times New Roman" w:hAnsi="Times New Roman" w:cs="Times New Roman"/>
        </w:rPr>
        <w:t xml:space="preserve">В соответствии с </w:t>
      </w:r>
      <w:hyperlink r:id="rId8" w:history="1">
        <w:r w:rsidRPr="00CA6313">
          <w:rPr>
            <w:rFonts w:ascii="Times New Roman" w:hAnsi="Times New Roman" w:cs="Times New Roman"/>
            <w:color w:val="0000FF"/>
          </w:rPr>
          <w:t>постановлением</w:t>
        </w:r>
      </w:hyperlink>
      <w:r w:rsidRPr="00CA6313">
        <w:rPr>
          <w:rFonts w:ascii="Times New Roman" w:hAnsi="Times New Roman" w:cs="Times New Roman"/>
        </w:rPr>
        <w:t xml:space="preserve"> Правительства Ленинградской области от 19 августа 2010 года N 219 "О проекте областного закона "О Концепции социально-экономического развития Ленинградской области на период до 2025 года" и утверждении Сводного перечня целей и задач Правительства Ленинградской области по социально-экономическому развитию Ленинградской области на период до 2013 года и стратегическую перспективу до 2025 года", </w:t>
      </w:r>
      <w:hyperlink r:id="rId9" w:history="1">
        <w:r w:rsidRPr="00CA6313">
          <w:rPr>
            <w:rFonts w:ascii="Times New Roman" w:hAnsi="Times New Roman" w:cs="Times New Roman"/>
            <w:color w:val="0000FF"/>
          </w:rPr>
          <w:t>Концепцией</w:t>
        </w:r>
      </w:hyperlink>
      <w:r w:rsidRPr="00CA6313">
        <w:rPr>
          <w:rFonts w:ascii="Times New Roman" w:hAnsi="Times New Roman" w:cs="Times New Roman"/>
        </w:rPr>
        <w:t xml:space="preserve"> социально-экономического развития Ленинградской области</w:t>
      </w:r>
      <w:proofErr w:type="gramEnd"/>
      <w:r w:rsidRPr="00CA6313">
        <w:rPr>
          <w:rFonts w:ascii="Times New Roman" w:hAnsi="Times New Roman" w:cs="Times New Roman"/>
        </w:rPr>
        <w:t xml:space="preserve"> на стратегическую перспективу до 2025 года, утвержденной областным законом Ленинградской области от 28 июня 2013 года N 45-оз, укрепление и сохранение здоровья населения, пропаганда здорового образа жизни являются главной стратегической целью развития здравоохранения Ленинградской области.</w:t>
      </w:r>
    </w:p>
    <w:p w:rsidR="00CA6313" w:rsidRPr="00CA6313" w:rsidRDefault="00CA6313" w:rsidP="00CA6313">
      <w:pPr>
        <w:pStyle w:val="ConsPlusNormal"/>
        <w:ind w:firstLine="540"/>
        <w:jc w:val="both"/>
        <w:rPr>
          <w:rFonts w:ascii="Times New Roman" w:hAnsi="Times New Roman" w:cs="Times New Roman"/>
        </w:rPr>
      </w:pPr>
      <w:proofErr w:type="gramStart"/>
      <w:r w:rsidRPr="00CA6313">
        <w:rPr>
          <w:rFonts w:ascii="Times New Roman" w:hAnsi="Times New Roman" w:cs="Times New Roman"/>
        </w:rPr>
        <w:t>В этой связи формирование здорового образа жизни у граждан, в том числе у детей и подростков, должно быть существенным образом поддержано мероприятиями, направленными на информирование граждан о факторах риска для их здоровья, формирование мотивации к здоровому образу жизни и создание условий для ведения здорового образа жизни, снижение уровней факторов риска неинфекционных заболеваний.</w:t>
      </w:r>
      <w:proofErr w:type="gramEnd"/>
      <w:r w:rsidRPr="00CA6313">
        <w:rPr>
          <w:rFonts w:ascii="Times New Roman" w:hAnsi="Times New Roman" w:cs="Times New Roman"/>
        </w:rPr>
        <w:t xml:space="preserve"> 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Помимо отказа от активного потребления табака важно быть защищенным от пассивного курения, оказывающего патологическое действие на организм человека. Ведение здорового образа жизни, то есть отсутствие поведенческих факторов риска неинфекционных заболеваний, является важнейшим условием снижения вероятности развития или уменьшения степени выраженности биологических факторов риска - артериальной гипертонии, повышения уровня холестерина и глюкозы в крови. В свою очередь, это будет способствовать снижению вероятности развития или уменьшению степени выраженности заболеваний, связанных с атеросклерозом, являющихся основными причинами сверхвысокой смертности населения, особенно трудоспособного возраста (инсульт, инфаркт миокарда, хронические формы ишемической болезни сердца, осложненные сердечной недостаточностью).</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Проведение мероприятий, направленных на формирование у населения приверженности к здоровому образу жизни, осуществляется комплексно с участием отраслевых органов исполнительной власти Ленинградской области, ведомственных структур, органов местного самоуправления.</w:t>
      </w:r>
    </w:p>
    <w:p w:rsidR="00CA6313" w:rsidRPr="00CA6313" w:rsidRDefault="00CA6313" w:rsidP="00CA6313">
      <w:pPr>
        <w:pStyle w:val="ConsPlusNormal"/>
        <w:ind w:firstLine="540"/>
        <w:jc w:val="both"/>
        <w:rPr>
          <w:rFonts w:ascii="Times New Roman" w:hAnsi="Times New Roman" w:cs="Times New Roman"/>
        </w:rPr>
      </w:pPr>
      <w:proofErr w:type="gramStart"/>
      <w:r w:rsidRPr="00CA6313">
        <w:rPr>
          <w:rFonts w:ascii="Times New Roman" w:hAnsi="Times New Roman" w:cs="Times New Roman"/>
        </w:rPr>
        <w:t>За счет средств областного бюджета в рамках мероприятия по развитию системы информирования населения о болезнях системы кровообращения подготавливаются и выходят в эфир Ленинградской областной телекомпании видеоматериалы, изготавливаются плакаты для размещения в лечебно-профилактических учреждениях и часто посещаемых местах (магазины и т.п.) с информацией о необходимости измерения артериального давления и других показателей, месте нахождения доврачебного кабинета, школ для пациентов и т</w:t>
      </w:r>
      <w:proofErr w:type="gramEnd"/>
      <w:r w:rsidRPr="00CA6313">
        <w:rPr>
          <w:rFonts w:ascii="Times New Roman" w:hAnsi="Times New Roman" w:cs="Times New Roman"/>
        </w:rPr>
        <w:t>.п.</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Важнейшим условием эффективности мер по формированию здорового образа жизни населения является наличие функционально взаимосвязанной системы по диагностике и коррекции факторов риска неинфекционных заболеваний в рамках не только первичной медико-</w:t>
      </w:r>
      <w:r w:rsidRPr="00CA6313">
        <w:rPr>
          <w:rFonts w:ascii="Times New Roman" w:hAnsi="Times New Roman" w:cs="Times New Roman"/>
        </w:rPr>
        <w:lastRenderedPageBreak/>
        <w:t>санитарной помощи, но и специализированной медицинской помощи, включая помощь в санаторно-курортных организациях. В основе этой системы должна быть полноценная инфраструктура, включающая центры медицинской профилактики, центры здоровья, центры медицинской реабилитации, кабинеты (отделения) медицинской профилактики, медицинской реабилитации поликлиник и стационаров, обслуживающих городское и сельское население, а также санаториев.</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Комитетом по здравоохранению Ленинградской области вопросы организации первичной медико-санитарной помощи определены как приоритетное направление развития здравоохранения региона.</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Для повышения качества и доступности первичной медико-санитарной помощи в рамках Подпрограммы будет проводиться комплекс мероприятий, направленных на привлечение медицинских кадров, увеличение объемов медицинской помощи, развитие сети учреждений, оказывающих первичную медико-санитарную помощь.</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Одной из проблем в части организации оказания населению Ленинградской области первичной медико-санитарной помощи является повышение доступности данного вида помощи сельскому населению. Проблема связана с "вымиранием деревень", вследствие чего происходит постепенное уменьшение количества фельдшерско-акушерских пунктов. Для решения вопросов медицинского обеспечения населения сельских поселений в 2012 и 2013 годах продолжена практика использования передвижных амбулаторий (в настоящее время работают 18 передвижных амбулаторий во всех муниципальных районах Ленинградской области). Всего за 2012 год осуществлено 76719 диагностических исследований (по сравнению с 2011 годом - увеличение на 58169 исследований), из которых ЭКГ-исследований - 14528, измерение артериального давления - 32388, офтальмоскопия - 11059. Кроме того, в центральных районных больницах в рамках реализации ведомственной целевой программы по повышению доступности первичной медико-санитарной помощи в 2011 году приобретено 20 автобусов, которые используются для доставки в центральные районные больницы пациентов из отдаленных поселений, малоподвижных пациентов, а также для выездов врачебных бригад.</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 настоящее время в Ленинградской области проводится работа по созданию центра медицинской профилактики со статусом юридического лица, введена должность главного специалиста Ленинградской области по профилактической медицине.</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 xml:space="preserve">Продолжится развитие инфраструктуры медицинской профилактики (открытие и оснащение кабинетов (отделений) медицинской профилактики при медицинских учреждениях, оказывающих первичную медико-санитарную и наркологическую помощь), оснащение их необходимым оборудованием согласно порядкам оказания медицинской помощи. Будут приобретены дорогостоящие медикаменты нового поколения, в том числе для лечения наркотических зависимостей, </w:t>
      </w:r>
      <w:proofErr w:type="gramStart"/>
      <w:r w:rsidRPr="00CA6313">
        <w:rPr>
          <w:rFonts w:ascii="Times New Roman" w:hAnsi="Times New Roman" w:cs="Times New Roman"/>
        </w:rPr>
        <w:t>тест-наборы</w:t>
      </w:r>
      <w:proofErr w:type="gramEnd"/>
      <w:r w:rsidRPr="00CA6313">
        <w:rPr>
          <w:rFonts w:ascii="Times New Roman" w:hAnsi="Times New Roman" w:cs="Times New Roman"/>
        </w:rPr>
        <w:t xml:space="preserve"> для определения наркотиков в биологических жидкостях. Запланировано проведение капитальных ремонтов и осуществление мероприятий по повышению безопасности в учреждениях здравоохранения.</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Предусмотрено совершенствование офтальмологической помощи взрослому населению, которое подразумевает создание межмуниципальных офтальмологических центров.</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Также в рамках укрепления материально-технической базы предусмотрено дооснащение учреждений здравоохранения санитарным транспортом.</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 настоящее время в учреждениях здравоохранения значительная часть флюорографического оборудования имеет износ 100 проц., в рамках Подпрограммы предусмотрена замена старого флюорографического оборудования.</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jc w:val="center"/>
        <w:rPr>
          <w:rFonts w:ascii="Times New Roman" w:hAnsi="Times New Roman" w:cs="Times New Roman"/>
          <w:b/>
          <w:sz w:val="28"/>
          <w:szCs w:val="28"/>
        </w:rPr>
      </w:pPr>
      <w:r w:rsidRPr="00CA6313">
        <w:rPr>
          <w:rFonts w:ascii="Times New Roman" w:hAnsi="Times New Roman" w:cs="Times New Roman"/>
          <w:b/>
          <w:sz w:val="28"/>
          <w:szCs w:val="28"/>
        </w:rPr>
        <w:t>Цели Подпрограммы</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Увеличение продолжительности активной жизни населения за счет формирования здорового образа жизни и профилактики заболеваний;</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снижение заболеваемости туберкулезом;</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снижение заболеваемости ВИЧ;</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повышение доступности офтальмохирургической помощи (уменьшение очереди на операции до одного месяца);</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повышение выявляемости больных злокачественными новообразованиями на I и II стадии заболевания;</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повышение доли больных, у которых туберкулез выявлен на ранней стадии;</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lastRenderedPageBreak/>
        <w:t>снижение уровня смертности от инфекционных заболеваний;</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снижение заболеваемости алкоголизмом, наркоманией;</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снижение уровня смертности населения за счет профилактики развития депрессивных состояний и суицидального поведения.</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jc w:val="center"/>
        <w:rPr>
          <w:rFonts w:ascii="Times New Roman" w:hAnsi="Times New Roman" w:cs="Times New Roman"/>
          <w:b/>
          <w:sz w:val="28"/>
          <w:szCs w:val="28"/>
        </w:rPr>
      </w:pPr>
      <w:r w:rsidRPr="00CA6313">
        <w:rPr>
          <w:rFonts w:ascii="Times New Roman" w:hAnsi="Times New Roman" w:cs="Times New Roman"/>
          <w:b/>
          <w:sz w:val="28"/>
          <w:szCs w:val="28"/>
        </w:rPr>
        <w:t>Задачи Подпрограммы</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Развитие системы медицинской профилактики неинфекционных заболеваний и формирование здорового образа жизни у населения Ленинградской области;</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наибольших вклад в показатели инвалидизации и смертности населения;</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раннее выявление инфицированных ВИЧ, острыми вирусными гепатитами B и C;</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снижение заболеваемости наркоманией, туберкулезом;</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jc w:val="center"/>
        <w:rPr>
          <w:rFonts w:ascii="Times New Roman" w:hAnsi="Times New Roman" w:cs="Times New Roman"/>
          <w:b/>
          <w:sz w:val="28"/>
          <w:szCs w:val="28"/>
        </w:rPr>
      </w:pPr>
      <w:r w:rsidRPr="00CA6313">
        <w:rPr>
          <w:rFonts w:ascii="Times New Roman" w:hAnsi="Times New Roman" w:cs="Times New Roman"/>
          <w:b/>
          <w:sz w:val="28"/>
          <w:szCs w:val="28"/>
        </w:rPr>
        <w:t>Характеристика основных мероприятий Подпрограммы</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 2014-2015 годах:</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i/>
        </w:rPr>
      </w:pPr>
      <w:r w:rsidRPr="00CA6313">
        <w:rPr>
          <w:rFonts w:ascii="Times New Roman" w:hAnsi="Times New Roman" w:cs="Times New Roman"/>
          <w:i/>
        </w:rPr>
        <w:t>Мероприятие 1.1. Обеспечение деятельности государственных казенных учреждений</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 Ленинградской области осуществляют деятельность 25 казенных учреждений, оказывающих первичную специализированную медицинскую помощь. Средства Подпрограммы направляются на текущее содержание медицинских учреждений. Плановые объемы медицинской помощи остаются на уровне 2013 года, при этом потребность в указанной помощи выше. Это связано с недостаточным финансированием и отсутствием соответствующей материально-технической базы.</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i/>
        </w:rPr>
      </w:pPr>
      <w:r w:rsidRPr="00CA6313">
        <w:rPr>
          <w:rFonts w:ascii="Times New Roman" w:hAnsi="Times New Roman" w:cs="Times New Roman"/>
          <w:i/>
        </w:rPr>
        <w:t>Мероприятие 1.2. Обеспечение деятельности государственных бюджетных и автономных учреждений</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 Ленинградской области осуществляют деятельность два автономных и девятнадцать бюджетных учреждений здравоохранения, подведомственных Комитету по здравоохранению Ленинградской области, оказывающих медицинскую помощь. Средства Подпрограммы направляются на текущее содержание медицинских учреждений. Государственные задания по объемам медицинской помощи формируются из потребности по федеральному нормативу и в 2014-2016 годах в основном остаются без изменения.</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i/>
        </w:rPr>
      </w:pPr>
      <w:r w:rsidRPr="00CA6313">
        <w:rPr>
          <w:rFonts w:ascii="Times New Roman" w:hAnsi="Times New Roman" w:cs="Times New Roman"/>
          <w:i/>
        </w:rPr>
        <w:t>Мероприятие 1.3. Развитие системы медицинской профилактики и формирование здорового образа жизни, в том числе у детей</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proofErr w:type="gramStart"/>
      <w:r w:rsidRPr="00CA6313">
        <w:rPr>
          <w:rFonts w:ascii="Times New Roman" w:hAnsi="Times New Roman" w:cs="Times New Roman"/>
        </w:rPr>
        <w:t>В рамках реализации мероприятия планируется развитие системы информирования населения о мерах личной и общественной профилактики туберкулеза, наркомании, ВИЧ-инфекции, психических расстройств и болезней системы кровообращения; приобретение медицинских иммунобиологических препаратов (вакцин) для профилактики инфекционных заболеваний, включая иммунопрофилактику; приобретение оборудования и средств контроля за соблюдением "холодовой цепи" при хранении и транспортировке медицинских иммунобиологических препаратов;</w:t>
      </w:r>
      <w:proofErr w:type="gramEnd"/>
      <w:r w:rsidRPr="00CA6313">
        <w:rPr>
          <w:rFonts w:ascii="Times New Roman" w:hAnsi="Times New Roman" w:cs="Times New Roman"/>
        </w:rPr>
        <w:t xml:space="preserve"> проведение работ по заключительной дезинфекции в очагах </w:t>
      </w:r>
      <w:r w:rsidRPr="00CA6313">
        <w:rPr>
          <w:rFonts w:ascii="Times New Roman" w:hAnsi="Times New Roman" w:cs="Times New Roman"/>
        </w:rPr>
        <w:lastRenderedPageBreak/>
        <w:t>туберкулеза; закупка диагностических сре</w:t>
      </w:r>
      <w:proofErr w:type="gramStart"/>
      <w:r w:rsidRPr="00CA6313">
        <w:rPr>
          <w:rFonts w:ascii="Times New Roman" w:hAnsi="Times New Roman" w:cs="Times New Roman"/>
        </w:rPr>
        <w:t>дств дл</w:t>
      </w:r>
      <w:proofErr w:type="gramEnd"/>
      <w:r w:rsidRPr="00CA6313">
        <w:rPr>
          <w:rFonts w:ascii="Times New Roman" w:hAnsi="Times New Roman" w:cs="Times New Roman"/>
        </w:rPr>
        <w:t>я выявления и мониторинга лиц, инфицированных вирусами иммунодефицита человека и гепатитов B и C; обеспечение специализированным питанием новорожденных, родившихся от матерей с ВИЧ-инфекцией.</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i/>
        </w:rPr>
      </w:pPr>
      <w:r w:rsidRPr="00CA6313">
        <w:rPr>
          <w:rFonts w:ascii="Times New Roman" w:hAnsi="Times New Roman" w:cs="Times New Roman"/>
          <w:i/>
        </w:rPr>
        <w:t>Мероприятие 1.4. 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 xml:space="preserve">Мероприятие осуществляется в рамках переданных федеральных полномочий в соответствии со </w:t>
      </w:r>
      <w:hyperlink r:id="rId10" w:history="1">
        <w:r w:rsidRPr="00CA6313">
          <w:rPr>
            <w:rFonts w:ascii="Times New Roman" w:hAnsi="Times New Roman" w:cs="Times New Roman"/>
            <w:color w:val="0000FF"/>
          </w:rPr>
          <w:t>статьей 4.1</w:t>
        </w:r>
      </w:hyperlink>
      <w:r w:rsidRPr="00CA6313">
        <w:rPr>
          <w:rFonts w:ascii="Times New Roman" w:hAnsi="Times New Roman" w:cs="Times New Roman"/>
        </w:rPr>
        <w:t xml:space="preserve"> Федерального закона от 17 июля 1999 года N 178-ФЗ "О государственной социальной помощи".</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i/>
        </w:rPr>
      </w:pPr>
      <w:r w:rsidRPr="00CA6313">
        <w:rPr>
          <w:rFonts w:ascii="Times New Roman" w:hAnsi="Times New Roman" w:cs="Times New Roman"/>
          <w:i/>
        </w:rPr>
        <w:t xml:space="preserve">Мероприятие 1.5.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w:t>
      </w:r>
      <w:proofErr w:type="gramStart"/>
      <w:r w:rsidRPr="00CA6313">
        <w:rPr>
          <w:rFonts w:ascii="Times New Roman" w:hAnsi="Times New Roman" w:cs="Times New Roman"/>
          <w:i/>
        </w:rPr>
        <w:t>и(</w:t>
      </w:r>
      <w:proofErr w:type="gramEnd"/>
      <w:r w:rsidRPr="00CA6313">
        <w:rPr>
          <w:rFonts w:ascii="Times New Roman" w:hAnsi="Times New Roman" w:cs="Times New Roman"/>
          <w:i/>
        </w:rPr>
        <w:t>или) тканей</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 xml:space="preserve">Обеспечение лекарственными препаратами граждан, страдающих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w:t>
      </w:r>
      <w:proofErr w:type="gramStart"/>
      <w:r w:rsidRPr="00CA6313">
        <w:rPr>
          <w:rFonts w:ascii="Times New Roman" w:hAnsi="Times New Roman" w:cs="Times New Roman"/>
        </w:rPr>
        <w:t>и(</w:t>
      </w:r>
      <w:proofErr w:type="gramEnd"/>
      <w:r w:rsidRPr="00CA6313">
        <w:rPr>
          <w:rFonts w:ascii="Times New Roman" w:hAnsi="Times New Roman" w:cs="Times New Roman"/>
        </w:rPr>
        <w:t xml:space="preserve">или) тканей осуществляется в соответствии с </w:t>
      </w:r>
      <w:hyperlink r:id="rId11" w:history="1">
        <w:r w:rsidRPr="00CA6313">
          <w:rPr>
            <w:rFonts w:ascii="Times New Roman" w:hAnsi="Times New Roman" w:cs="Times New Roman"/>
            <w:color w:val="0000FF"/>
          </w:rPr>
          <w:t>постановлением</w:t>
        </w:r>
      </w:hyperlink>
      <w:r w:rsidRPr="00CA6313">
        <w:rPr>
          <w:rFonts w:ascii="Times New Roman" w:hAnsi="Times New Roman" w:cs="Times New Roman"/>
        </w:rPr>
        <w:t xml:space="preserve"> Правительства Российской Федерации от 17 октября 2007 года N 682. Перечень лекарственных препаратов утвержден </w:t>
      </w:r>
      <w:hyperlink r:id="rId12" w:history="1">
        <w:r w:rsidRPr="00CA6313">
          <w:rPr>
            <w:rFonts w:ascii="Times New Roman" w:hAnsi="Times New Roman" w:cs="Times New Roman"/>
            <w:color w:val="0000FF"/>
          </w:rPr>
          <w:t>распоряжением</w:t>
        </w:r>
      </w:hyperlink>
      <w:r w:rsidRPr="00CA6313">
        <w:rPr>
          <w:rFonts w:ascii="Times New Roman" w:hAnsi="Times New Roman" w:cs="Times New Roman"/>
        </w:rPr>
        <w:t xml:space="preserve"> Правительства Российской Федерации от 31 декабря 2008 года 2053-р.</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i/>
        </w:rPr>
      </w:pPr>
      <w:r w:rsidRPr="00CA6313">
        <w:rPr>
          <w:rFonts w:ascii="Times New Roman" w:hAnsi="Times New Roman" w:cs="Times New Roman"/>
          <w:i/>
        </w:rPr>
        <w:t>Мероприятие 1.6. Укрепление материально-технической базы амбулаторно-поликлинической службы</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CA6313" w:rsidRPr="00CA6313" w:rsidRDefault="00CA6313" w:rsidP="00CA6313">
      <w:pPr>
        <w:pStyle w:val="ConsPlusNormal"/>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i/>
        </w:rPr>
      </w:pPr>
      <w:r w:rsidRPr="00CA6313">
        <w:rPr>
          <w:rFonts w:ascii="Times New Roman" w:hAnsi="Times New Roman" w:cs="Times New Roman"/>
          <w:i/>
        </w:rPr>
        <w:t>Мероприятие 1.7. Оказание услуг по приему, хранению, доставке и передаче лекарственных средств, медицинских изделий, специальных продуктов, лечебного питания в аптеки и медицинские организации</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Ленинградская область является получателем лекарственных средств, медицинских изделий, специализированных продуктов лечебного питания, закупаемых Министерством здравоохранения Российской Федерации в рамках федеральных целевых программ за счет средств федерального бюджета.</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Комитет по здравоохранению Ленинградской области является балансодержателем и осуществляет организацию получения, хранения, доставки в аптечные и медицинские организации централизованно закупленных лекарственных средств, медицинских изделий, специальных продуктов лечебного питания.</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Оплата услуги по получению, хранению, доставке в аптечные и медицинские организации лекарственных средств, медицинских изделий, специальных продуктов лечебного питания осуществляется за счет средств областного бюджета Ленинградской области.</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Объем товара, поставляемого централизованно, определяется номенклатурой лекарственных средств и ценами аукционных закупок, проводимых Министерством здравоохранения Российской Федерации.</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Стоимость услуги по получению, хранению, доставке в аптечные и медицинские организации централизованно закупленных лекарственных средств, медицинских изделий, специальных продуктов лечебного питания и организация, осуществляющая данные услуги, определяются по результатам аукциона. Все услуги должны предоставляться с соблюдением требований по условиям хранения, транспортировке товара, в том числе с соблюдением требований "холодовой цепи".</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i/>
        </w:rPr>
      </w:pPr>
      <w:r w:rsidRPr="00CA6313">
        <w:rPr>
          <w:rFonts w:ascii="Times New Roman" w:hAnsi="Times New Roman" w:cs="Times New Roman"/>
          <w:i/>
        </w:rPr>
        <w:t>Мероприятие 1.8. Профилактика ВИЧ-инфекции и гепатитов B и C</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proofErr w:type="gramStart"/>
      <w:r w:rsidRPr="00CA6313">
        <w:rPr>
          <w:rFonts w:ascii="Times New Roman" w:hAnsi="Times New Roman" w:cs="Times New Roman"/>
        </w:rPr>
        <w:t xml:space="preserve">В соответствии с </w:t>
      </w:r>
      <w:hyperlink r:id="rId13" w:history="1">
        <w:r w:rsidRPr="00CA6313">
          <w:rPr>
            <w:rFonts w:ascii="Times New Roman" w:hAnsi="Times New Roman" w:cs="Times New Roman"/>
            <w:color w:val="0000FF"/>
          </w:rPr>
          <w:t>постановлением</w:t>
        </w:r>
      </w:hyperlink>
      <w:r w:rsidRPr="00CA6313">
        <w:rPr>
          <w:rFonts w:ascii="Times New Roman" w:hAnsi="Times New Roman" w:cs="Times New Roman"/>
        </w:rPr>
        <w:t xml:space="preserve"> Правительства Российской Федерации от 1 марта 2014 года N 163 предоставляются иные межбюджетные трансферты из федерального бюджета бюджетам субъектов Российской Федерации на реализацию мероприятий по профилактике ВИЧ-инфекции и гепатитов B и C, предусматривающих кампании по информированию и обучению различных групп населения средствам и методам профилактики ВИЧ-инфекции, гепатитов B и C.</w:t>
      </w:r>
      <w:proofErr w:type="gramEnd"/>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 2016-2018 годах:</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i/>
        </w:rPr>
      </w:pPr>
      <w:r w:rsidRPr="00CA6313">
        <w:rPr>
          <w:rFonts w:ascii="Times New Roman" w:hAnsi="Times New Roman" w:cs="Times New Roman"/>
          <w:i/>
        </w:rP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 Ленинградской области осуществляют деятельность 25 казенных учреждений, оказывающих первичную специализированную медицинскую помощь. Средства Подпрограммы направляются на текущее содержание медицинских учреждений. Плановые объемы медицинской помощи остаются на уровне 2013 года, при этом потребность в указанной помощи выше. Это связано с недостаточным финансированием и отсутствием соответствующей материально-технической базы.</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 Ленинградской области осуществляют деятельность два автономных и девятнадцать бюджетных учреждений здравоохранения, подведомственных Комитету по здравоохранению Ленинградской области, оказывающих медицинскую помощь. Средства Подпрограммы направляются на текущее содержание медицинских учреждений. Государственные задания по объемам медицинской помощи формируются из потребности по федеральному нормативу и в 2014-2016 годах в основном остаются без изменения.</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i/>
        </w:rPr>
      </w:pPr>
      <w:r w:rsidRPr="00CA6313">
        <w:rPr>
          <w:rFonts w:ascii="Times New Roman" w:hAnsi="Times New Roman" w:cs="Times New Roman"/>
          <w:i/>
        </w:rPr>
        <w:t>Основное мероприятие "Профилактика заболеваний и формирование здорового образа жизни"</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proofErr w:type="gramStart"/>
      <w:r w:rsidRPr="00CA6313">
        <w:rPr>
          <w:rFonts w:ascii="Times New Roman" w:hAnsi="Times New Roman" w:cs="Times New Roman"/>
        </w:rPr>
        <w:t>В рамках реализации мероприятия планируется развитие системы информирования населения о мерах личной и общественной профилактики туберкулеза, наркомании, ВИЧ-инфекции, психических расстройств и болезней системы кровообращения; приобретение медицинских иммунобиологических препаратов (вакцин) для профилактики инфекционных заболеваний, включая иммунопрофилактику; приобретение оборудования и средств контроля за соблюдением "холодовой цепи" при хранении и транспортировке медицинских иммунобиологических препаратов;</w:t>
      </w:r>
      <w:proofErr w:type="gramEnd"/>
      <w:r w:rsidRPr="00CA6313">
        <w:rPr>
          <w:rFonts w:ascii="Times New Roman" w:hAnsi="Times New Roman" w:cs="Times New Roman"/>
        </w:rPr>
        <w:t xml:space="preserve"> проведение работ по заключительной дезинфекции в очагах туберкулеза; закупка диагностических сре</w:t>
      </w:r>
      <w:proofErr w:type="gramStart"/>
      <w:r w:rsidRPr="00CA6313">
        <w:rPr>
          <w:rFonts w:ascii="Times New Roman" w:hAnsi="Times New Roman" w:cs="Times New Roman"/>
        </w:rPr>
        <w:t>дств дл</w:t>
      </w:r>
      <w:proofErr w:type="gramEnd"/>
      <w:r w:rsidRPr="00CA6313">
        <w:rPr>
          <w:rFonts w:ascii="Times New Roman" w:hAnsi="Times New Roman" w:cs="Times New Roman"/>
        </w:rPr>
        <w:t>я выявления и мониторинга лиц, инфицированных вирусами иммунодефицита человека и гепатитов B и C; обеспечение специализированным питанием новорожденных, родившихся от матерей с ВИЧ-инфекцией.</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i/>
        </w:rPr>
      </w:pPr>
      <w:r w:rsidRPr="00CA6313">
        <w:rPr>
          <w:rFonts w:ascii="Times New Roman" w:hAnsi="Times New Roman" w:cs="Times New Roman"/>
          <w:i/>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 xml:space="preserve">Мероприятие осуществляется в рамках переданных федеральных полномочий в соответствии со </w:t>
      </w:r>
      <w:hyperlink r:id="rId14" w:history="1">
        <w:r w:rsidRPr="00CA6313">
          <w:rPr>
            <w:rFonts w:ascii="Times New Roman" w:hAnsi="Times New Roman" w:cs="Times New Roman"/>
            <w:color w:val="0000FF"/>
          </w:rPr>
          <w:t>статьей 4.1</w:t>
        </w:r>
      </w:hyperlink>
      <w:r w:rsidRPr="00CA6313">
        <w:rPr>
          <w:rFonts w:ascii="Times New Roman" w:hAnsi="Times New Roman" w:cs="Times New Roman"/>
        </w:rPr>
        <w:t xml:space="preserve"> Федерального закона от 17 июля 1999 года N 178-ФЗ "О государственной социальной помощи".</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 xml:space="preserve">Обеспечение лекарственными препаратами граждан, страдающих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w:t>
      </w:r>
      <w:proofErr w:type="gramStart"/>
      <w:r w:rsidRPr="00CA6313">
        <w:rPr>
          <w:rFonts w:ascii="Times New Roman" w:hAnsi="Times New Roman" w:cs="Times New Roman"/>
        </w:rPr>
        <w:t>и(</w:t>
      </w:r>
      <w:proofErr w:type="gramEnd"/>
      <w:r w:rsidRPr="00CA6313">
        <w:rPr>
          <w:rFonts w:ascii="Times New Roman" w:hAnsi="Times New Roman" w:cs="Times New Roman"/>
        </w:rPr>
        <w:t xml:space="preserve">или) тканей осуществляется в соответствии с </w:t>
      </w:r>
      <w:hyperlink r:id="rId15" w:history="1">
        <w:r w:rsidRPr="00CA6313">
          <w:rPr>
            <w:rFonts w:ascii="Times New Roman" w:hAnsi="Times New Roman" w:cs="Times New Roman"/>
            <w:color w:val="0000FF"/>
          </w:rPr>
          <w:t>постановлением</w:t>
        </w:r>
      </w:hyperlink>
      <w:r w:rsidRPr="00CA6313">
        <w:rPr>
          <w:rFonts w:ascii="Times New Roman" w:hAnsi="Times New Roman" w:cs="Times New Roman"/>
        </w:rPr>
        <w:t xml:space="preserve"> </w:t>
      </w:r>
      <w:r w:rsidRPr="00CA6313">
        <w:rPr>
          <w:rFonts w:ascii="Times New Roman" w:hAnsi="Times New Roman" w:cs="Times New Roman"/>
        </w:rPr>
        <w:lastRenderedPageBreak/>
        <w:t xml:space="preserve">Правительства Российской Федерации от 17 октября 2007 года N 682. </w:t>
      </w:r>
      <w:hyperlink r:id="rId16" w:history="1">
        <w:r w:rsidRPr="00CA6313">
          <w:rPr>
            <w:rFonts w:ascii="Times New Roman" w:hAnsi="Times New Roman" w:cs="Times New Roman"/>
            <w:color w:val="0000FF"/>
          </w:rPr>
          <w:t>Перечень</w:t>
        </w:r>
      </w:hyperlink>
      <w:r w:rsidRPr="00CA6313">
        <w:rPr>
          <w:rFonts w:ascii="Times New Roman" w:hAnsi="Times New Roman" w:cs="Times New Roman"/>
        </w:rPr>
        <w:t xml:space="preserve"> лекарственных препаратов утвержден распоряжением Правительства Российской Федерации от 31 декабря 2008 года N 2053-р.</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Ленинградская область является получателем лекарственных средств, медицинских изделий, специализированных продуктов лечебного питания, закупаемых Министерством здравоохранения Российской Федерации в рамках федеральных целевых программ за счет средств федерального бюджета.</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Комитет по здравоохранению Ленинградской области является балансодержателем и осуществляет организацию получения, хранения, доставки в аптечные и медицинские организации централизованно закупленных лекарственных средств, медицинских изделий, специальных продуктов лечебного питания.</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Оплата услуги по получению, хранению, доставке в аптечные и медицинские организации лекарственных средств, медицинских изделий, специальных продуктов лечебного питания осуществляется за счет средств областного бюджета Ленинградской области.</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Объем товара, поставляемого централизованно, определяется номенклатурой лекарственных средств и ценами аукционных закупок, проводимых Министерством здравоохранения Российской Федерации.</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Стоимость услуги по получению, хранению, доставке в аптечные и медицинские организации централизованно закупленных лекарственных средств, медицинских изделий, специальных продуктов лечебного питания и организация, осуществляющая данные услуги, определяются по результатам аукциона. Все услуги должны предоставляться с соблюдением требований по условиям хранения, транспортировке товара, в том числе с соблюдением требований "холодовой цепи".</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jc w:val="center"/>
        <w:rPr>
          <w:rFonts w:ascii="Times New Roman" w:hAnsi="Times New Roman" w:cs="Times New Roman"/>
          <w:b/>
          <w:sz w:val="28"/>
          <w:szCs w:val="28"/>
        </w:rPr>
      </w:pPr>
      <w:r w:rsidRPr="00CA6313">
        <w:rPr>
          <w:rFonts w:ascii="Times New Roman" w:hAnsi="Times New Roman" w:cs="Times New Roman"/>
          <w:b/>
          <w:sz w:val="28"/>
          <w:szCs w:val="28"/>
        </w:rPr>
        <w:t>Ожидаемые результаты реализации Подпрограммы</w:t>
      </w:r>
    </w:p>
    <w:p w:rsidR="00CA6313" w:rsidRPr="00CA6313" w:rsidRDefault="00CA6313" w:rsidP="00CA6313">
      <w:pPr>
        <w:pStyle w:val="ConsPlusNormal"/>
        <w:jc w:val="center"/>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К 2018 году:</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Объем первичной медико-санитарной помощи в государственных казенных учреждениях - 0,055 посещения на 1 жителя; 0,0071 обращения на 1 жителя;</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Объем первичной медико-санитарной помощи в бюджетных и автономных учреждениях - 0,131 посещения на 1 жителя; 0,063 обращения на 1 жителя; 0,004 пациенто-дня на 1 жителя;</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Доля медицинских организаций, имеющих в своем составе отделения, соответствующие Порядкам оказания помощи, от общего числа медицинских организаций - 53 процента;</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Снижение заболеваемости туберкулезом на 100 тыс. населения - 36,9 случая;</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Увеличение объема лекарственных средств, медицинских изделий, специализированных продуктов лечебного питания, доставленных в аптеки и медицинские организации Ленинградской области, - 72 процента;</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Увеличение обеспечения отдельных категорий граждан необходимыми лекарственными препаратами и медицинскими изделиями, а также специализированными продуктами лечебного питания для детей-инвалидов - 98 процентов;</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 xml:space="preserve">Удовлетворение потребности в лекарственных </w:t>
      </w:r>
      <w:proofErr w:type="gramStart"/>
      <w:r w:rsidRPr="00CA6313">
        <w:rPr>
          <w:rFonts w:ascii="Times New Roman" w:hAnsi="Times New Roman" w:cs="Times New Roman"/>
        </w:rPr>
        <w:t>препаратах</w:t>
      </w:r>
      <w:proofErr w:type="gramEnd"/>
      <w:r w:rsidRPr="00CA6313">
        <w:rPr>
          <w:rFonts w:ascii="Times New Roman" w:hAnsi="Times New Roman" w:cs="Times New Roman"/>
        </w:rPr>
        <w:t xml:space="preserve"> для лечения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- 98 процентов;</w:t>
      </w: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- 48,5 процентов.</w:t>
      </w:r>
    </w:p>
    <w:p w:rsidR="00CA6313" w:rsidRPr="00CA6313" w:rsidRDefault="00CA6313" w:rsidP="00CA6313">
      <w:pPr>
        <w:pStyle w:val="ConsPlusNormal"/>
        <w:ind w:firstLine="540"/>
        <w:jc w:val="both"/>
        <w:rPr>
          <w:rFonts w:ascii="Times New Roman" w:hAnsi="Times New Roman" w:cs="Times New Roman"/>
        </w:rPr>
      </w:pPr>
    </w:p>
    <w:p w:rsidR="00CA6313" w:rsidRPr="00CA6313" w:rsidRDefault="00CA6313" w:rsidP="00CA6313">
      <w:pPr>
        <w:pStyle w:val="ConsPlusNormal"/>
        <w:jc w:val="center"/>
        <w:rPr>
          <w:rFonts w:ascii="Times New Roman" w:hAnsi="Times New Roman" w:cs="Times New Roman"/>
          <w:b/>
          <w:sz w:val="28"/>
          <w:szCs w:val="28"/>
        </w:rPr>
      </w:pPr>
      <w:r w:rsidRPr="00CA6313">
        <w:rPr>
          <w:rFonts w:ascii="Times New Roman" w:hAnsi="Times New Roman" w:cs="Times New Roman"/>
          <w:b/>
          <w:sz w:val="28"/>
          <w:szCs w:val="28"/>
        </w:rPr>
        <w:t>Сроки и этапы реализации Подпрограммы</w:t>
      </w:r>
    </w:p>
    <w:p w:rsidR="00CA6313" w:rsidRPr="00CA6313" w:rsidRDefault="00CA6313" w:rsidP="00CA6313">
      <w:pPr>
        <w:pStyle w:val="ConsPlusNormal"/>
        <w:jc w:val="center"/>
        <w:rPr>
          <w:rFonts w:ascii="Times New Roman" w:hAnsi="Times New Roman" w:cs="Times New Roman"/>
        </w:rPr>
      </w:pPr>
    </w:p>
    <w:p w:rsidR="00CA6313" w:rsidRPr="00CA6313" w:rsidRDefault="00CA6313" w:rsidP="00CA6313">
      <w:pPr>
        <w:pStyle w:val="ConsPlusNormal"/>
        <w:ind w:firstLine="540"/>
        <w:jc w:val="both"/>
        <w:rPr>
          <w:rFonts w:ascii="Times New Roman" w:hAnsi="Times New Roman" w:cs="Times New Roman"/>
        </w:rPr>
      </w:pPr>
      <w:r w:rsidRPr="00CA6313">
        <w:rPr>
          <w:rFonts w:ascii="Times New Roman" w:hAnsi="Times New Roman" w:cs="Times New Roman"/>
        </w:rPr>
        <w:t>Подпрограмма реализуется в 2014-2018 годах в один этап.</w:t>
      </w:r>
    </w:p>
    <w:p w:rsidR="00AD7C06" w:rsidRPr="00CA6313" w:rsidRDefault="00AD7C06" w:rsidP="00CA6313">
      <w:pPr>
        <w:rPr>
          <w:rFonts w:ascii="Times New Roman" w:hAnsi="Times New Roman" w:cs="Times New Roman"/>
        </w:rPr>
      </w:pPr>
    </w:p>
    <w:sectPr w:rsidR="00AD7C06" w:rsidRPr="00CA63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8D" w:rsidRDefault="00D7108D" w:rsidP="00CA6313">
      <w:pPr>
        <w:spacing w:after="0" w:line="240" w:lineRule="auto"/>
      </w:pPr>
      <w:r>
        <w:separator/>
      </w:r>
    </w:p>
  </w:endnote>
  <w:endnote w:type="continuationSeparator" w:id="0">
    <w:p w:rsidR="00D7108D" w:rsidRDefault="00D7108D" w:rsidP="00CA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8D" w:rsidRDefault="00D7108D" w:rsidP="00CA6313">
      <w:pPr>
        <w:spacing w:after="0" w:line="240" w:lineRule="auto"/>
      </w:pPr>
      <w:r>
        <w:separator/>
      </w:r>
    </w:p>
  </w:footnote>
  <w:footnote w:type="continuationSeparator" w:id="0">
    <w:p w:rsidR="00D7108D" w:rsidRDefault="00D7108D" w:rsidP="00CA6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13"/>
    <w:rsid w:val="00396FAC"/>
    <w:rsid w:val="00432D6F"/>
    <w:rsid w:val="00AD7C06"/>
    <w:rsid w:val="00CA6313"/>
    <w:rsid w:val="00D7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13"/>
  </w:style>
  <w:style w:type="paragraph" w:styleId="1">
    <w:name w:val="heading 1"/>
    <w:basedOn w:val="a"/>
    <w:next w:val="a"/>
    <w:link w:val="10"/>
    <w:uiPriority w:val="9"/>
    <w:qFormat/>
    <w:rsid w:val="00CA6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31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CA6313"/>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CA63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6313"/>
  </w:style>
  <w:style w:type="paragraph" w:styleId="a5">
    <w:name w:val="footer"/>
    <w:basedOn w:val="a"/>
    <w:link w:val="a6"/>
    <w:uiPriority w:val="99"/>
    <w:unhideWhenUsed/>
    <w:rsid w:val="00CA63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6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13"/>
  </w:style>
  <w:style w:type="paragraph" w:styleId="1">
    <w:name w:val="heading 1"/>
    <w:basedOn w:val="a"/>
    <w:next w:val="a"/>
    <w:link w:val="10"/>
    <w:uiPriority w:val="9"/>
    <w:qFormat/>
    <w:rsid w:val="00CA6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31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CA6313"/>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CA63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6313"/>
  </w:style>
  <w:style w:type="paragraph" w:styleId="a5">
    <w:name w:val="footer"/>
    <w:basedOn w:val="a"/>
    <w:link w:val="a6"/>
    <w:uiPriority w:val="99"/>
    <w:unhideWhenUsed/>
    <w:rsid w:val="00CA63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ECF48E6D58CF09BBBEF112E9EC56F9B5001969B55FED82A64ACB8A85EyDG" TargetMode="External"/><Relationship Id="rId13" Type="http://schemas.openxmlformats.org/officeDocument/2006/relationships/hyperlink" Target="consultantplus://offline/ref=42CECF48E6D58CF09BBBF0003B9EC56F9B5401969C57FED82A64ACB8A85EyD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CECF48E6D58CF09BBBF0003B9EC56F9B5100989B54FED82A64ACB8A85EyD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2CECF48E6D58CF09BBBF0003B9EC56F9B5100989B54FED82A64ACB8A8EDFB5EE16BF27A5E2F260257y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CECF48E6D58CF09BBBF0003B9EC56F93570892995BA3D2223DA0BA5AyFG" TargetMode="External"/><Relationship Id="rId5" Type="http://schemas.openxmlformats.org/officeDocument/2006/relationships/webSettings" Target="webSettings.xml"/><Relationship Id="rId15" Type="http://schemas.openxmlformats.org/officeDocument/2006/relationships/hyperlink" Target="consultantplus://offline/ref=42CECF48E6D58CF09BBBF0003B9EC56F93570892995BA3D2223DA0BA5AyFG" TargetMode="External"/><Relationship Id="rId10" Type="http://schemas.openxmlformats.org/officeDocument/2006/relationships/hyperlink" Target="consultantplus://offline/ref=42CECF48E6D58CF09BBBF0003B9EC56F9B5901979954FED82A64ACB8A8EDFB5EE16BF27C55y6G" TargetMode="External"/><Relationship Id="rId4" Type="http://schemas.openxmlformats.org/officeDocument/2006/relationships/settings" Target="settings.xml"/><Relationship Id="rId9" Type="http://schemas.openxmlformats.org/officeDocument/2006/relationships/hyperlink" Target="consultantplus://offline/ref=42CECF48E6D58CF09BBBEF112E9EC56F9B520E979C56FED82A64ACB8A8EDFB5EE16BF27A5E2F260057y1G" TargetMode="External"/><Relationship Id="rId14" Type="http://schemas.openxmlformats.org/officeDocument/2006/relationships/hyperlink" Target="consultantplus://offline/ref=42CECF48E6D58CF09BBBF0003B9EC56F9B5901979954FED82A64ACB8A8EDFB5EE16BF27C55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BF05-5460-4B4D-B904-8E3AC4F6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4140</Words>
  <Characters>23600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plan3.lokz</dc:creator>
  <cp:lastModifiedBy>Нина Олеговна Верединская</cp:lastModifiedBy>
  <cp:revision>2</cp:revision>
  <dcterms:created xsi:type="dcterms:W3CDTF">2018-07-09T15:47:00Z</dcterms:created>
  <dcterms:modified xsi:type="dcterms:W3CDTF">2018-07-09T15:47:00Z</dcterms:modified>
</cp:coreProperties>
</file>