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637" w:rsidTr="00D52F51">
        <w:trPr>
          <w:trHeight w:val="1903"/>
        </w:trPr>
        <w:tc>
          <w:tcPr>
            <w:tcW w:w="4644" w:type="dxa"/>
          </w:tcPr>
          <w:p w:rsidR="005A2637" w:rsidRPr="00D52F51" w:rsidRDefault="005A2637" w:rsidP="00D52F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</w:t>
            </w:r>
            <w:r w:rsidR="00A10723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Перечня л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екарственных препаратов, медицинских изделий и расходных материалов, необходимых для оказания сто</w:t>
            </w:r>
            <w:r w:rsidR="00A10723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матологической помощи в рамках Т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ерриториальной программы государственных  гарантий бесплатного оказания гражданам медицинской помощ</w:t>
            </w:r>
            <w:r w:rsidR="005134EC"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  <w:r w:rsidR="00C924F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в Ленинградской области на 2022</w:t>
            </w:r>
            <w:r w:rsidRPr="00D52F51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год </w:t>
            </w:r>
          </w:p>
          <w:p w:rsidR="005A2637" w:rsidRDefault="005A2637">
            <w:pPr>
              <w:pStyle w:val="ConsPlusTitle"/>
              <w:jc w:val="center"/>
            </w:pPr>
          </w:p>
        </w:tc>
      </w:tr>
    </w:tbl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6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к Территориальной программе государственных гарантий бесплатного оказания гражданам медицинской помощ</w:t>
      </w:r>
      <w:r w:rsidR="005134EC">
        <w:rPr>
          <w:rFonts w:ascii="Times New Roman" w:hAnsi="Times New Roman" w:cs="Times New Roman"/>
          <w:sz w:val="28"/>
          <w:szCs w:val="28"/>
        </w:rPr>
        <w:t>и</w:t>
      </w:r>
      <w:r w:rsidR="00365198">
        <w:rPr>
          <w:rFonts w:ascii="Times New Roman" w:hAnsi="Times New Roman" w:cs="Times New Roman"/>
          <w:sz w:val="28"/>
          <w:szCs w:val="28"/>
        </w:rPr>
        <w:t xml:space="preserve"> в Ленинградской области на 2022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65198">
        <w:rPr>
          <w:rFonts w:ascii="Times New Roman" w:hAnsi="Times New Roman" w:cs="Times New Roman"/>
          <w:sz w:val="28"/>
          <w:szCs w:val="28"/>
        </w:rPr>
        <w:t>23</w:t>
      </w:r>
      <w:r w:rsidR="005A2637">
        <w:rPr>
          <w:rFonts w:ascii="Times New Roman" w:hAnsi="Times New Roman" w:cs="Times New Roman"/>
          <w:sz w:val="28"/>
          <w:szCs w:val="28"/>
        </w:rPr>
        <w:t xml:space="preserve"> и 202</w:t>
      </w:r>
      <w:r w:rsidR="00365198">
        <w:rPr>
          <w:rFonts w:ascii="Times New Roman" w:hAnsi="Times New Roman" w:cs="Times New Roman"/>
          <w:sz w:val="28"/>
          <w:szCs w:val="28"/>
        </w:rPr>
        <w:t>4</w:t>
      </w:r>
      <w:r w:rsidR="005A26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26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</w:t>
      </w:r>
      <w:r w:rsidR="005134EC">
        <w:rPr>
          <w:rFonts w:ascii="Times New Roman" w:hAnsi="Times New Roman" w:cs="Times New Roman"/>
          <w:sz w:val="28"/>
          <w:szCs w:val="28"/>
        </w:rPr>
        <w:t>ьства Ленинградской области от 30</w:t>
      </w:r>
      <w:r w:rsidR="00365198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365198">
        <w:rPr>
          <w:rFonts w:ascii="Times New Roman" w:hAnsi="Times New Roman" w:cs="Times New Roman"/>
          <w:sz w:val="28"/>
          <w:szCs w:val="28"/>
        </w:rPr>
        <w:t>939</w:t>
      </w:r>
      <w:r w:rsidRPr="005A263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</w:t>
      </w:r>
      <w:r w:rsidR="00365198">
        <w:rPr>
          <w:rFonts w:ascii="Times New Roman" w:hAnsi="Times New Roman" w:cs="Times New Roman"/>
          <w:sz w:val="28"/>
          <w:szCs w:val="28"/>
        </w:rPr>
        <w:t>на 2022</w:t>
      </w:r>
      <w:r w:rsidR="00663B24"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2637">
        <w:rPr>
          <w:rFonts w:ascii="Times New Roman" w:hAnsi="Times New Roman" w:cs="Times New Roman"/>
          <w:sz w:val="28"/>
          <w:szCs w:val="28"/>
        </w:rPr>
        <w:t>.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2. Настоящий приказ распространяется на правоотн</w:t>
      </w:r>
      <w:r w:rsidR="005134EC">
        <w:rPr>
          <w:rFonts w:ascii="Times New Roman" w:hAnsi="Times New Roman" w:cs="Times New Roman"/>
          <w:sz w:val="28"/>
          <w:szCs w:val="28"/>
        </w:rPr>
        <w:t>о</w:t>
      </w:r>
      <w:r w:rsidR="00365198"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2129">
        <w:rPr>
          <w:rFonts w:ascii="Times New Roman" w:hAnsi="Times New Roman" w:cs="Times New Roman"/>
          <w:sz w:val="28"/>
          <w:szCs w:val="28"/>
        </w:rPr>
        <w:t>К</w:t>
      </w:r>
      <w:r w:rsidRPr="005A2637">
        <w:rPr>
          <w:rFonts w:ascii="Times New Roman" w:hAnsi="Times New Roman" w:cs="Times New Roman"/>
          <w:sz w:val="28"/>
          <w:szCs w:val="28"/>
        </w:rPr>
        <w:t>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7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  </w:t>
      </w:r>
      <w:r w:rsidR="00A10723">
        <w:rPr>
          <w:rFonts w:ascii="Times New Roman" w:hAnsi="Times New Roman" w:cs="Times New Roman"/>
          <w:sz w:val="28"/>
          <w:szCs w:val="28"/>
        </w:rPr>
        <w:t xml:space="preserve">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</w:t>
      </w:r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F51" w:rsidRDefault="00D52F51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u w:val="single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lastRenderedPageBreak/>
        <w:t xml:space="preserve">Проект распоряжения подготовлен </w:t>
      </w:r>
      <w:r w:rsidRPr="00C924FB">
        <w:rPr>
          <w:rFonts w:cs="Times New Roman"/>
          <w:bCs/>
          <w:kern w:val="0"/>
          <w:u w:val="single"/>
          <w:lang w:eastAsia="ru-RU" w:bidi="ar-SA"/>
        </w:rPr>
        <w:t>сектором государственных гарантий бесплатной медицинской помощи</w:t>
      </w:r>
      <w:r w:rsidRPr="00C924FB">
        <w:rPr>
          <w:rFonts w:cs="Times New Roman"/>
          <w:bCs/>
          <w:kern w:val="0"/>
          <w:lang w:eastAsia="ru-RU" w:bidi="ar-SA"/>
        </w:rPr>
        <w:t xml:space="preserve">                                                (наименование структурного подразделения)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u w:val="single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 xml:space="preserve">Исполнитель </w:t>
      </w:r>
      <w:r w:rsidRPr="00C924FB">
        <w:rPr>
          <w:rFonts w:cs="Times New Roman"/>
          <w:bCs/>
          <w:kern w:val="0"/>
          <w:lang w:eastAsia="ru-RU" w:bidi="ar-SA"/>
        </w:rPr>
        <w:sym w:font="Symbol" w:char="F02D"/>
      </w:r>
      <w:r w:rsidRPr="00C924FB">
        <w:rPr>
          <w:rFonts w:cs="Times New Roman"/>
          <w:bCs/>
          <w:kern w:val="0"/>
          <w:lang w:eastAsia="ru-RU" w:bidi="ar-SA"/>
        </w:rPr>
        <w:t xml:space="preserve"> </w:t>
      </w:r>
      <w:r w:rsidRPr="00C924FB">
        <w:rPr>
          <w:rFonts w:cs="Times New Roman"/>
          <w:bCs/>
          <w:kern w:val="0"/>
          <w:u w:val="single"/>
          <w:lang w:eastAsia="ru-RU" w:bidi="ar-SA"/>
        </w:rPr>
        <w:t>Алексеева Н.А. 539-45-39                                                   «       »                      2021г.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 xml:space="preserve">                                    (ФИО, телефон)</w:t>
      </w:r>
      <w:r w:rsidRPr="00C924FB">
        <w:rPr>
          <w:rFonts w:cs="Times New Roman"/>
          <w:bCs/>
          <w:kern w:val="0"/>
          <w:lang w:eastAsia="ru-RU" w:bidi="ar-SA"/>
        </w:rPr>
        <w:tab/>
        <w:t xml:space="preserve">                                                                        (дата)</w:t>
      </w:r>
    </w:p>
    <w:p w:rsid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u w:val="single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 xml:space="preserve">Начальник сектора – </w:t>
      </w:r>
      <w:r w:rsidRPr="00C924FB">
        <w:rPr>
          <w:rFonts w:cs="Times New Roman"/>
          <w:bCs/>
          <w:kern w:val="0"/>
          <w:u w:val="single"/>
          <w:lang w:eastAsia="ru-RU" w:bidi="ar-SA"/>
        </w:rPr>
        <w:t>Чередникова А.С. 539-45-39                                   «       »                      2021 г.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 xml:space="preserve">                                    (ФИО, телефон)</w:t>
      </w:r>
      <w:r w:rsidRPr="00C924FB">
        <w:rPr>
          <w:rFonts w:cs="Times New Roman"/>
          <w:bCs/>
          <w:kern w:val="0"/>
          <w:lang w:eastAsia="ru-RU" w:bidi="ar-SA"/>
        </w:rPr>
        <w:tab/>
        <w:t xml:space="preserve">                                                                        (дата)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>Согласование проекта распоряжения: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2"/>
        <w:gridCol w:w="2268"/>
        <w:gridCol w:w="1417"/>
      </w:tblGrid>
      <w:tr w:rsidR="00C924FB" w:rsidRPr="00C924FB" w:rsidTr="00D00F20">
        <w:tc>
          <w:tcPr>
            <w:tcW w:w="3969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2552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ФИО</w:t>
            </w:r>
          </w:p>
        </w:tc>
        <w:tc>
          <w:tcPr>
            <w:tcW w:w="2268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Подпись</w:t>
            </w:r>
          </w:p>
        </w:tc>
        <w:tc>
          <w:tcPr>
            <w:tcW w:w="1417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Дата</w:t>
            </w:r>
          </w:p>
        </w:tc>
      </w:tr>
      <w:tr w:rsidR="00C924FB" w:rsidRPr="00C924FB" w:rsidTr="00D00F20">
        <w:trPr>
          <w:trHeight w:val="1005"/>
        </w:trPr>
        <w:tc>
          <w:tcPr>
            <w:tcW w:w="3969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Заместитель председателя Комитета по здравоохранению Ленинградской области</w:t>
            </w:r>
          </w:p>
        </w:tc>
        <w:tc>
          <w:tcPr>
            <w:tcW w:w="2552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Власов Е.Г.</w:t>
            </w:r>
          </w:p>
        </w:tc>
        <w:tc>
          <w:tcPr>
            <w:tcW w:w="2268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  <w:tr w:rsidR="00C924FB" w:rsidRPr="00C924FB" w:rsidTr="00D00F20">
        <w:trPr>
          <w:trHeight w:val="1005"/>
        </w:trPr>
        <w:tc>
          <w:tcPr>
            <w:tcW w:w="3969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Заместитель председателя Комитета по здравоохранению Ленинградской области</w:t>
            </w:r>
          </w:p>
        </w:tc>
        <w:tc>
          <w:tcPr>
            <w:tcW w:w="2552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proofErr w:type="spellStart"/>
            <w:r w:rsidRPr="00C924FB">
              <w:rPr>
                <w:rFonts w:cs="Times New Roman"/>
                <w:bCs/>
                <w:kern w:val="0"/>
                <w:lang w:eastAsia="ru-RU" w:bidi="ar-SA"/>
              </w:rPr>
              <w:t>Вальденберг</w:t>
            </w:r>
            <w:proofErr w:type="spellEnd"/>
            <w:r w:rsidRPr="00C924FB">
              <w:rPr>
                <w:rFonts w:cs="Times New Roman"/>
                <w:bCs/>
                <w:kern w:val="0"/>
                <w:lang w:eastAsia="ru-RU" w:bidi="ar-SA"/>
              </w:rPr>
              <w:t xml:space="preserve"> А.В.</w:t>
            </w:r>
          </w:p>
        </w:tc>
        <w:tc>
          <w:tcPr>
            <w:tcW w:w="2268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  <w:tr w:rsidR="00C924FB" w:rsidRPr="00C924FB" w:rsidTr="00D00F20">
        <w:trPr>
          <w:trHeight w:val="1005"/>
        </w:trPr>
        <w:tc>
          <w:tcPr>
            <w:tcW w:w="3969" w:type="dxa"/>
          </w:tcPr>
          <w:p w:rsidR="00C924FB" w:rsidRPr="00F80FD9" w:rsidRDefault="00C924FB" w:rsidP="00D00F20">
            <w:pPr>
              <w:rPr>
                <w:rFonts w:cs="Times New Roman"/>
              </w:rPr>
            </w:pPr>
            <w:r w:rsidRPr="00F80FD9">
              <w:rPr>
                <w:rFonts w:cs="Times New Roman"/>
              </w:rPr>
              <w:t xml:space="preserve">Начальник отдела по организации медицинской помощи взрослому населению </w:t>
            </w:r>
          </w:p>
        </w:tc>
        <w:tc>
          <w:tcPr>
            <w:tcW w:w="2552" w:type="dxa"/>
          </w:tcPr>
          <w:p w:rsidR="00C924FB" w:rsidRPr="00F80FD9" w:rsidRDefault="00C924FB" w:rsidP="00D00F20">
            <w:pPr>
              <w:rPr>
                <w:rFonts w:cs="Times New Roman"/>
              </w:rPr>
            </w:pPr>
            <w:proofErr w:type="spellStart"/>
            <w:r w:rsidRPr="00F80FD9">
              <w:rPr>
                <w:rFonts w:cs="Times New Roman"/>
              </w:rPr>
              <w:t>Ровкина</w:t>
            </w:r>
            <w:proofErr w:type="spellEnd"/>
            <w:r w:rsidRPr="00F80FD9">
              <w:rPr>
                <w:rFonts w:cs="Times New Roman"/>
              </w:rPr>
              <w:t xml:space="preserve"> Е.И.</w:t>
            </w:r>
          </w:p>
        </w:tc>
        <w:tc>
          <w:tcPr>
            <w:tcW w:w="2268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  <w:tr w:rsidR="00C924FB" w:rsidRPr="00C924FB" w:rsidTr="00D00F20">
        <w:trPr>
          <w:trHeight w:val="5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Консультант - юрисконсульт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proofErr w:type="spellStart"/>
            <w:r w:rsidRPr="00C924FB">
              <w:rPr>
                <w:rFonts w:cs="Times New Roman"/>
                <w:bCs/>
                <w:kern w:val="0"/>
                <w:lang w:eastAsia="ru-RU" w:bidi="ar-SA"/>
              </w:rPr>
              <w:t>Челышева</w:t>
            </w:r>
            <w:proofErr w:type="spellEnd"/>
            <w:r w:rsidRPr="00C924FB">
              <w:rPr>
                <w:rFonts w:cs="Times New Roman"/>
                <w:bCs/>
                <w:kern w:val="0"/>
                <w:lang w:eastAsia="ru-RU" w:bidi="ar-SA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</w:tbl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C924FB">
        <w:rPr>
          <w:rFonts w:cs="Times New Roman"/>
          <w:bCs/>
          <w:kern w:val="0"/>
          <w:lang w:eastAsia="ru-RU" w:bidi="ar-SA"/>
        </w:rPr>
        <w:t>Рассылка приказа:</w:t>
      </w:r>
    </w:p>
    <w:p w:rsidR="00C924FB" w:rsidRPr="00C924FB" w:rsidRDefault="00C924FB" w:rsidP="00C924FB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C924FB" w:rsidRPr="00C924FB" w:rsidTr="00D00F20"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Кол-во экз.</w:t>
            </w:r>
          </w:p>
        </w:tc>
      </w:tr>
      <w:tr w:rsidR="00C924FB" w:rsidRPr="00C924FB" w:rsidTr="00D00F20">
        <w:trPr>
          <w:trHeight w:val="255"/>
        </w:trPr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Оригинал в дело</w:t>
            </w: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C924FB" w:rsidRPr="00C924FB" w:rsidTr="00D00F20">
        <w:trPr>
          <w:trHeight w:val="175"/>
        </w:trPr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 xml:space="preserve">Отдел организации медицинской помощи взрослому населению </w:t>
            </w: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C924FB" w:rsidRPr="00C924FB" w:rsidTr="00D00F20"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Планово-экономический отдел</w:t>
            </w: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C924FB" w:rsidRPr="00C924FB" w:rsidTr="00D00F20"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МИАЦ</w:t>
            </w: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  <w:r w:rsidRPr="00C924FB">
              <w:rPr>
                <w:rFonts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C924FB" w:rsidRPr="00C924FB" w:rsidTr="00D00F20"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  <w:tr w:rsidR="00C924FB" w:rsidRPr="00C924FB" w:rsidTr="00D00F20">
        <w:tc>
          <w:tcPr>
            <w:tcW w:w="4785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983" w:type="dxa"/>
          </w:tcPr>
          <w:p w:rsidR="00C924FB" w:rsidRPr="00C924FB" w:rsidRDefault="00C924FB" w:rsidP="00C924FB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bCs/>
                <w:kern w:val="0"/>
                <w:lang w:eastAsia="ru-RU" w:bidi="ar-SA"/>
              </w:rPr>
            </w:pPr>
          </w:p>
        </w:tc>
      </w:tr>
    </w:tbl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E8769D" w:rsidRDefault="00E8769D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119" w:rsidRDefault="00DF2119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F2119" w:rsidSect="00C4732F"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от</w:t>
      </w:r>
      <w:r w:rsidR="00A10723">
        <w:rPr>
          <w:rFonts w:ascii="Times New Roman" w:hAnsi="Times New Roman" w:cs="Times New Roman"/>
          <w:sz w:val="28"/>
          <w:szCs w:val="28"/>
        </w:rPr>
        <w:t>__</w:t>
      </w:r>
      <w:r w:rsidR="005134EC">
        <w:rPr>
          <w:rFonts w:ascii="Times New Roman" w:hAnsi="Times New Roman" w:cs="Times New Roman"/>
          <w:sz w:val="28"/>
          <w:szCs w:val="28"/>
        </w:rPr>
        <w:t>________</w:t>
      </w:r>
      <w:r w:rsidR="00A10723">
        <w:rPr>
          <w:rFonts w:ascii="Times New Roman" w:hAnsi="Times New Roman" w:cs="Times New Roman"/>
          <w:sz w:val="28"/>
          <w:szCs w:val="28"/>
        </w:rPr>
        <w:t>____</w:t>
      </w:r>
      <w:r w:rsidR="000274C1">
        <w:rPr>
          <w:rFonts w:ascii="Times New Roman" w:hAnsi="Times New Roman" w:cs="Times New Roman"/>
          <w:sz w:val="28"/>
          <w:szCs w:val="28"/>
        </w:rPr>
        <w:t>______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134EC">
        <w:rPr>
          <w:rFonts w:ascii="Times New Roman" w:hAnsi="Times New Roman" w:cs="Times New Roman"/>
          <w:sz w:val="28"/>
          <w:szCs w:val="28"/>
        </w:rPr>
        <w:t>___</w:t>
      </w:r>
      <w:r w:rsidR="005A2637">
        <w:rPr>
          <w:rFonts w:ascii="Times New Roman" w:hAnsi="Times New Roman" w:cs="Times New Roman"/>
          <w:sz w:val="28"/>
          <w:szCs w:val="28"/>
        </w:rPr>
        <w:t>____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A2637">
        <w:rPr>
          <w:rFonts w:ascii="Times New Roman" w:hAnsi="Times New Roman" w:cs="Times New Roman"/>
          <w:sz w:val="28"/>
          <w:szCs w:val="28"/>
        </w:rPr>
        <w:t>ПЕРЕЧЕНЬ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РАСХОДНЫХ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ОКАЗАНИЯ </w:t>
      </w:r>
      <w:proofErr w:type="gramStart"/>
      <w:r w:rsidRPr="005A2637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ГОСУДАРСТВЕННЫХ ГАРАНТИЙ БЕСПЛАТНОЙ МЕДИЦИНСКОЙ ПОМОЩИ</w:t>
      </w:r>
    </w:p>
    <w:p w:rsidR="00076857" w:rsidRPr="005A2637" w:rsidRDefault="00486466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НА 2022</w:t>
      </w:r>
      <w:bookmarkStart w:id="1" w:name="_GoBack"/>
      <w:bookmarkEnd w:id="1"/>
      <w:r w:rsidR="00076857" w:rsidRPr="005A26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857" w:rsidRPr="005A2637" w:rsidRDefault="00076857" w:rsidP="005A2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одноразовые, стерильные и нестерильные разрешенные для использования в медицинских целях,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маски,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для врача,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наконечники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 пылесоса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шапочки,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одноразовые салфетки для пациентов,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для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чехлы для подголовников,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стаканчики для полоскания рта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опасных отходов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мешки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группы 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поверхностей рабочего места врача стоматолога,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системы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и пылесоса,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стоматологических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дезинфекции оттисков,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упаковочные пакеты для стерилизации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журналы  для контроля стерильности,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полотенца,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 для укладки одноразовых полотенец,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смазки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укладки для оказания экстренной помощи при общесоматических осложнениях в условиях стоматологических кабинетов,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аптечки </w:t>
            </w:r>
            <w:proofErr w:type="gramStart"/>
            <w:r>
              <w:rPr>
                <w:sz w:val="28"/>
                <w:szCs w:val="28"/>
              </w:rPr>
              <w:t>анти-СПИД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хирургический одноразовый,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анестезии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временных пломб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постоянных пломб отечественного производства (</w:t>
            </w:r>
            <w:proofErr w:type="spellStart"/>
            <w:r>
              <w:rPr>
                <w:sz w:val="28"/>
                <w:szCs w:val="28"/>
              </w:rPr>
              <w:t>силикофосфатные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цинкфосфатные</w:t>
            </w:r>
            <w:proofErr w:type="spellEnd"/>
            <w:r>
              <w:rPr>
                <w:sz w:val="28"/>
                <w:szCs w:val="28"/>
              </w:rPr>
              <w:t xml:space="preserve">, силикатные,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 xml:space="preserve"> цементы, композитные материалы,  амальгама),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подкладочные материалы (на основе гидроокиси кальция,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адгезивные  системы,  протравки для композитов отечественного производства, 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временного и постоянного пломбирования корневых каналов отечественного производства,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 и гели для поверхностного покрытия зубов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  </w:t>
            </w:r>
            <w:proofErr w:type="spellStart"/>
            <w:r>
              <w:rPr>
                <w:sz w:val="28"/>
                <w:szCs w:val="28"/>
              </w:rPr>
              <w:t>девитализирующие</w:t>
            </w:r>
            <w:proofErr w:type="spellEnd"/>
            <w:r>
              <w:rPr>
                <w:sz w:val="28"/>
                <w:szCs w:val="28"/>
              </w:rPr>
              <w:t xml:space="preserve">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 полировочные пасты  и абразивные пасты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  жидкости для сушки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   препараты для обеззараживания и расширения корневых каналов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 препараты для медикаментозной обработки корневых каналов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 маркеры и индикаторы для визуальной диагностики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 тесты для определения гигиенических индексов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растворы антисептиков для местного применения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  кровоостанавливающие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  ферменты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48.   лекарственные средства для медикаментозного лечения заболеваний пародонта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49. гели и пасты для размягчения и снятия твердых зубных отложений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 таблетки для окрашивания зубов при гигиенических мероприятиях,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 кровоостанавливающие препараты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 препараты для обработки раневой поверхности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 препараты для лечения </w:t>
            </w:r>
            <w:proofErr w:type="spellStart"/>
            <w:r>
              <w:rPr>
                <w:sz w:val="28"/>
                <w:szCs w:val="28"/>
              </w:rPr>
              <w:t>альвеолитов</w:t>
            </w:r>
            <w:proofErr w:type="spellEnd"/>
            <w:r>
              <w:rPr>
                <w:sz w:val="28"/>
                <w:szCs w:val="28"/>
              </w:rPr>
              <w:t xml:space="preserve"> отечественного производства,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54.  набор инструментов стоматологических (лоток, зеркало, шпатель, пинцет 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стоматологический, зонд стоматологический, экскаваторы, гладилки,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штопферы</w:t>
            </w:r>
            <w:proofErr w:type="spellEnd"/>
            <w:r>
              <w:rPr>
                <w:sz w:val="28"/>
                <w:szCs w:val="28"/>
              </w:rPr>
              <w:t>),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  наконечник стоматологический турбинный,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  наконечник стоматологический угловой,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  наконечник  стоматологический прямой,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  боры,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  шлифовальные  и полировальные головки,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  </w:t>
            </w:r>
            <w:proofErr w:type="spellStart"/>
            <w:r>
              <w:rPr>
                <w:sz w:val="28"/>
                <w:szCs w:val="28"/>
              </w:rPr>
              <w:t>дискодержатели</w:t>
            </w:r>
            <w:proofErr w:type="spellEnd"/>
            <w:r>
              <w:rPr>
                <w:sz w:val="28"/>
                <w:szCs w:val="28"/>
              </w:rPr>
              <w:t xml:space="preserve">  и полировочные диски, щетки,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61.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металлические, пластиковые,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  </w:t>
            </w:r>
            <w:proofErr w:type="spellStart"/>
            <w:r>
              <w:rPr>
                <w:sz w:val="28"/>
                <w:szCs w:val="28"/>
              </w:rPr>
              <w:t>ретракционные</w:t>
            </w:r>
            <w:proofErr w:type="spellEnd"/>
            <w:r>
              <w:rPr>
                <w:sz w:val="28"/>
                <w:szCs w:val="28"/>
              </w:rPr>
              <w:t xml:space="preserve"> нити,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  одноразовые шприцы, иглы,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  цветовая шкала,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  аппарат для </w:t>
            </w:r>
            <w:proofErr w:type="spellStart"/>
            <w:r>
              <w:rPr>
                <w:sz w:val="28"/>
                <w:szCs w:val="28"/>
              </w:rPr>
              <w:t>электроодонтодиагностики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  комплект аппликаторов, кисточек,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  </w:t>
            </w:r>
            <w:proofErr w:type="spellStart"/>
            <w:r>
              <w:rPr>
                <w:sz w:val="28"/>
                <w:szCs w:val="28"/>
              </w:rPr>
              <w:t>апекслокатор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  межзубные клинья,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  пистолет-аппликатор для капсульных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  инструментарий  для ручной обработки  и пломбирования   корневых каналов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  </w:t>
            </w:r>
            <w:proofErr w:type="spellStart"/>
            <w:r>
              <w:rPr>
                <w:sz w:val="28"/>
                <w:szCs w:val="28"/>
              </w:rPr>
              <w:t>каналонаполнители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  эндодонтический инструментарий для </w:t>
            </w:r>
            <w:proofErr w:type="spellStart"/>
            <w:r>
              <w:rPr>
                <w:sz w:val="28"/>
                <w:szCs w:val="28"/>
              </w:rPr>
              <w:t>распломбировки</w:t>
            </w:r>
            <w:proofErr w:type="spellEnd"/>
            <w:r>
              <w:rPr>
                <w:sz w:val="28"/>
                <w:szCs w:val="28"/>
              </w:rPr>
              <w:t xml:space="preserve">  и расширения устьев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коневых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  кассеты  для стоматологического инструмента,   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  чашки Петри,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  боксы и подставки для эндодонтических инструментов,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  матричные системы,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  спиртовка,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   вата,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  стандартные ватные валики,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  аппарат ультразвуковой для очистки боров,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81.   стерилизатор </w:t>
            </w:r>
            <w:proofErr w:type="spellStart"/>
            <w:r>
              <w:rPr>
                <w:sz w:val="28"/>
                <w:szCs w:val="28"/>
              </w:rPr>
              <w:t>гласперленовый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  микромотор,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  инструменты для создания контактных пунктов,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  шарики ватные,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  штифты бумажные,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для изоляции протоков околоушных слюнных желез,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  наборы для обработки и полировки зубов,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  блок листов   для замешивания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  стекла стоматологические для замешивания,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  одноразовые шприцы с  эндодонтическими иглами,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  комплект инструментов для  ручного снятия зубных отложений,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  набор для </w:t>
            </w:r>
            <w:proofErr w:type="spellStart"/>
            <w:r>
              <w:rPr>
                <w:sz w:val="28"/>
                <w:szCs w:val="28"/>
              </w:rPr>
              <w:t>кюретажа</w:t>
            </w:r>
            <w:proofErr w:type="spellEnd"/>
            <w:r>
              <w:rPr>
                <w:sz w:val="28"/>
                <w:szCs w:val="28"/>
              </w:rPr>
              <w:t xml:space="preserve"> ручным способом,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  </w:t>
            </w:r>
            <w:proofErr w:type="spellStart"/>
            <w:r>
              <w:rPr>
                <w:sz w:val="28"/>
                <w:szCs w:val="28"/>
              </w:rPr>
              <w:t>пародонтологический</w:t>
            </w:r>
            <w:proofErr w:type="spellEnd"/>
            <w:r>
              <w:rPr>
                <w:sz w:val="28"/>
                <w:szCs w:val="28"/>
              </w:rPr>
              <w:t xml:space="preserve"> инструментарий,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 иглы </w:t>
            </w:r>
            <w:proofErr w:type="spellStart"/>
            <w:r>
              <w:rPr>
                <w:sz w:val="28"/>
                <w:szCs w:val="28"/>
              </w:rPr>
              <w:t>карпульные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 шприц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 фрезы хирургические,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 щипцы для удаления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 элеваторы зубные,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 </w:t>
            </w:r>
            <w:proofErr w:type="spellStart"/>
            <w:r>
              <w:rPr>
                <w:sz w:val="28"/>
                <w:szCs w:val="28"/>
              </w:rPr>
              <w:t>люксаторы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 иглодержатели,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 </w:t>
            </w:r>
            <w:proofErr w:type="spellStart"/>
            <w:r>
              <w:rPr>
                <w:sz w:val="28"/>
                <w:szCs w:val="28"/>
              </w:rPr>
              <w:t>корцанги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 кусачки,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 ножницы,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 зажимы,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  распаторы,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 ложки для выскабливания,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 скальпели одноразовые с аксессуарами,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  шовный материал,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  щипцы </w:t>
            </w:r>
            <w:proofErr w:type="spellStart"/>
            <w:r>
              <w:rPr>
                <w:sz w:val="28"/>
                <w:szCs w:val="28"/>
              </w:rPr>
              <w:t>крампонные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110.   проволока лигатурная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  артикуляционная бумага,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  долото,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  молоток,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114.   </w:t>
            </w: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  роторасширитель,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   перевязочный материал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  гипс медицинский,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118.   набор винтов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119.   </w:t>
            </w:r>
            <w:proofErr w:type="spellStart"/>
            <w:r>
              <w:rPr>
                <w:sz w:val="28"/>
                <w:szCs w:val="28"/>
              </w:rPr>
              <w:t>коронкосниматель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  лигатурная проволока разного сечения,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121.   система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 xml:space="preserve">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122.  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 xml:space="preserve"> кольца,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123.   </w:t>
            </w:r>
            <w:proofErr w:type="spellStart"/>
            <w:r>
              <w:rPr>
                <w:sz w:val="28"/>
                <w:szCs w:val="28"/>
              </w:rPr>
              <w:t>ортодонтический</w:t>
            </w:r>
            <w:proofErr w:type="spellEnd"/>
            <w:r>
              <w:rPr>
                <w:sz w:val="28"/>
                <w:szCs w:val="28"/>
              </w:rPr>
              <w:t xml:space="preserve"> набор стандартных заготовок,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   кювета-цоколь для отливки диагностической модели,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   головки, диски, фрезы,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126.   щипцы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   материалы для фиксации,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   нож для гипса,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129.   </w:t>
            </w:r>
            <w:proofErr w:type="spellStart"/>
            <w:r>
              <w:rPr>
                <w:sz w:val="28"/>
                <w:szCs w:val="28"/>
              </w:rPr>
              <w:t>ортодонтическая</w:t>
            </w:r>
            <w:proofErr w:type="spellEnd"/>
            <w:r>
              <w:rPr>
                <w:sz w:val="28"/>
                <w:szCs w:val="28"/>
              </w:rPr>
              <w:t xml:space="preserve"> пластмасса,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клеи, лаки, растворители,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   набор искусственных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   </w:t>
            </w:r>
            <w:proofErr w:type="spellStart"/>
            <w:r>
              <w:rPr>
                <w:sz w:val="28"/>
                <w:szCs w:val="28"/>
              </w:rPr>
              <w:t>кламмеры</w:t>
            </w:r>
            <w:proofErr w:type="spellEnd"/>
            <w:r>
              <w:rPr>
                <w:sz w:val="28"/>
                <w:szCs w:val="28"/>
              </w:rPr>
              <w:t xml:space="preserve">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протезов,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   пленка рентгеновская стоматологическая,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    химреактивы для обработки рентгеновской пленки,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135.    </w:t>
            </w:r>
            <w:proofErr w:type="spellStart"/>
            <w:r>
              <w:rPr>
                <w:sz w:val="28"/>
                <w:szCs w:val="28"/>
              </w:rPr>
              <w:t>гуттаперчивые</w:t>
            </w:r>
            <w:proofErr w:type="spellEnd"/>
            <w:r>
              <w:rPr>
                <w:sz w:val="28"/>
                <w:szCs w:val="28"/>
              </w:rPr>
              <w:t xml:space="preserve"> штифты</w:t>
            </w:r>
            <w:r w:rsidR="00A10723"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</w:pPr>
            <w:r>
              <w:rPr>
                <w:sz w:val="28"/>
                <w:szCs w:val="28"/>
              </w:rPr>
              <w:t xml:space="preserve">136.   </w:t>
            </w:r>
            <w:proofErr w:type="spellStart"/>
            <w:r>
              <w:rPr>
                <w:sz w:val="28"/>
                <w:szCs w:val="28"/>
              </w:rPr>
              <w:t>светополимеризационная</w:t>
            </w:r>
            <w:proofErr w:type="spellEnd"/>
            <w:r>
              <w:rPr>
                <w:sz w:val="28"/>
                <w:szCs w:val="28"/>
              </w:rPr>
              <w:t xml:space="preserve"> лампа</w:t>
            </w:r>
            <w:r w:rsidR="00A10723">
              <w:rPr>
                <w:sz w:val="28"/>
                <w:szCs w:val="28"/>
              </w:rPr>
              <w:t>.</w:t>
            </w:r>
          </w:p>
        </w:tc>
      </w:tr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D164F2">
            <w:pPr>
              <w:pStyle w:val="1"/>
              <w:snapToGri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E01253" w:rsidRDefault="00E01253" w:rsidP="00E01253">
      <w:pPr>
        <w:tabs>
          <w:tab w:val="left" w:pos="1200"/>
        </w:tabs>
        <w:ind w:left="567" w:hanging="567"/>
        <w:rPr>
          <w:sz w:val="26"/>
          <w:szCs w:val="26"/>
          <w:lang w:eastAsia="ru-RU"/>
        </w:rPr>
      </w:pPr>
      <w:r>
        <w:tab/>
        <w:t xml:space="preserve"> </w:t>
      </w: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</w:pPr>
    </w:p>
    <w:p w:rsidR="009E27B4" w:rsidRPr="005A2637" w:rsidRDefault="009E27B4" w:rsidP="005A2637">
      <w:pPr>
        <w:jc w:val="both"/>
        <w:rPr>
          <w:rFonts w:cs="Times New Roman"/>
          <w:sz w:val="28"/>
          <w:szCs w:val="28"/>
        </w:rPr>
      </w:pPr>
    </w:p>
    <w:sectPr w:rsidR="009E27B4" w:rsidRPr="005A2637" w:rsidSect="00291995"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F8" w:rsidRDefault="00A57DF8" w:rsidP="00A10723">
      <w:r>
        <w:separator/>
      </w:r>
    </w:p>
  </w:endnote>
  <w:endnote w:type="continuationSeparator" w:id="0">
    <w:p w:rsidR="00A57DF8" w:rsidRDefault="00A57DF8" w:rsidP="00A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F8" w:rsidRDefault="00A57DF8" w:rsidP="00A10723">
      <w:r>
        <w:separator/>
      </w:r>
    </w:p>
  </w:footnote>
  <w:footnote w:type="continuationSeparator" w:id="0">
    <w:p w:rsidR="00A57DF8" w:rsidRDefault="00A57DF8" w:rsidP="00A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274C1"/>
    <w:rsid w:val="00033F62"/>
    <w:rsid w:val="0004541F"/>
    <w:rsid w:val="00076857"/>
    <w:rsid w:val="00182129"/>
    <w:rsid w:val="001F0A00"/>
    <w:rsid w:val="00291995"/>
    <w:rsid w:val="00365198"/>
    <w:rsid w:val="00380D02"/>
    <w:rsid w:val="003A2C59"/>
    <w:rsid w:val="004122B5"/>
    <w:rsid w:val="00486466"/>
    <w:rsid w:val="005134EC"/>
    <w:rsid w:val="0058047D"/>
    <w:rsid w:val="005A2637"/>
    <w:rsid w:val="005D496F"/>
    <w:rsid w:val="0062167E"/>
    <w:rsid w:val="00663B24"/>
    <w:rsid w:val="007658B5"/>
    <w:rsid w:val="007926B9"/>
    <w:rsid w:val="00944835"/>
    <w:rsid w:val="009813CC"/>
    <w:rsid w:val="009C4427"/>
    <w:rsid w:val="009E27B4"/>
    <w:rsid w:val="00A10723"/>
    <w:rsid w:val="00A57DF8"/>
    <w:rsid w:val="00BC3027"/>
    <w:rsid w:val="00C4732F"/>
    <w:rsid w:val="00C924FB"/>
    <w:rsid w:val="00D01351"/>
    <w:rsid w:val="00D52F51"/>
    <w:rsid w:val="00DF2119"/>
    <w:rsid w:val="00E000E5"/>
    <w:rsid w:val="00E01253"/>
    <w:rsid w:val="00E10684"/>
    <w:rsid w:val="00E14763"/>
    <w:rsid w:val="00E8769D"/>
    <w:rsid w:val="00F241DF"/>
    <w:rsid w:val="00FA53EA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9404CD2C3F4BE24FEF7D8BCF20312B6F37A1B03EE23DBE0D30C5D374492M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05AF-6DCF-4034-B6B1-D180DAAF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Павловна Коршева</cp:lastModifiedBy>
  <cp:revision>12</cp:revision>
  <cp:lastPrinted>2022-02-15T08:29:00Z</cp:lastPrinted>
  <dcterms:created xsi:type="dcterms:W3CDTF">2019-03-04T06:41:00Z</dcterms:created>
  <dcterms:modified xsi:type="dcterms:W3CDTF">2022-02-15T11:27:00Z</dcterms:modified>
</cp:coreProperties>
</file>